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2" w:rsidRPr="00EF7F93" w:rsidRDefault="00A5035B" w:rsidP="00EF7F93">
      <w:pPr>
        <w:shd w:val="clear" w:color="auto" w:fill="FABF8F"/>
        <w:jc w:val="both"/>
      </w:pPr>
      <w:r w:rsidRPr="00EF7F93">
        <w:rPr>
          <w:b/>
        </w:rPr>
        <w:t>Кому:</w:t>
      </w:r>
      <w:r w:rsidRPr="00EF7F93">
        <w:t xml:space="preserve"> </w:t>
      </w:r>
      <w:r w:rsidR="00EF7F93">
        <w:t>Юристу</w:t>
      </w:r>
    </w:p>
    <w:p w:rsidR="00C96B2A" w:rsidRPr="00EF7F93" w:rsidRDefault="00C96B2A" w:rsidP="00EF7F93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EF7F93" w:rsidRPr="00EF7F93" w:rsidRDefault="00EF7F93" w:rsidP="00EF7F93">
      <w:pPr>
        <w:pStyle w:val="2"/>
        <w:shd w:val="clear" w:color="auto" w:fill="FFFFFF"/>
        <w:spacing w:before="0" w:after="240"/>
        <w:jc w:val="center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EF7F93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Новое в </w:t>
      </w:r>
      <w:r w:rsidRPr="00EF7F93">
        <w:rPr>
          <w:rFonts w:ascii="Times New Roman" w:hAnsi="Times New Roman" w:cs="Times New Roman"/>
          <w:b w:val="0"/>
          <w:bCs w:val="0"/>
          <w:color w:val="FF6609"/>
          <w:sz w:val="32"/>
          <w:szCs w:val="32"/>
        </w:rPr>
        <w:t>"Перспективах и рисках судебных споров"</w:t>
      </w:r>
    </w:p>
    <w:p w:rsidR="00EF7F93" w:rsidRPr="00EF7F93" w:rsidRDefault="00EF7F93" w:rsidP="00EF7F93">
      <w:pPr>
        <w:pStyle w:val="a8"/>
        <w:shd w:val="clear" w:color="auto" w:fill="FFFFFF"/>
        <w:spacing w:before="0" w:after="240"/>
        <w:jc w:val="both"/>
        <w:rPr>
          <w:rStyle w:val="a9"/>
          <w:color w:val="5E5E5E"/>
        </w:rPr>
      </w:pPr>
      <w:r w:rsidRPr="00EF7F93">
        <w:rPr>
          <w:rStyle w:val="a9"/>
          <w:color w:val="5E5E5E"/>
        </w:rPr>
        <w:t xml:space="preserve">Подготовиться к суду и оценить варианты исхода </w:t>
      </w:r>
      <w:proofErr w:type="gramStart"/>
      <w:r w:rsidRPr="00EF7F93">
        <w:rPr>
          <w:rStyle w:val="a9"/>
          <w:color w:val="5E5E5E"/>
        </w:rPr>
        <w:t>спора</w:t>
      </w:r>
      <w:proofErr w:type="gramEnd"/>
      <w:r w:rsidRPr="00EF7F93">
        <w:rPr>
          <w:rStyle w:val="a9"/>
          <w:color w:val="5E5E5E"/>
        </w:rPr>
        <w:t xml:space="preserve"> как истцу, так и ответчику помогут продукты "Перспективы и риски арбитражных споров" и "Перспективы и риски споров в суде общей юрисдикции" от </w:t>
      </w:r>
      <w:proofErr w:type="spellStart"/>
      <w:r w:rsidRPr="00EF7F93">
        <w:rPr>
          <w:rStyle w:val="a9"/>
          <w:color w:val="5E5E5E"/>
        </w:rPr>
        <w:t>КонсультантПлюс</w:t>
      </w:r>
      <w:proofErr w:type="spellEnd"/>
      <w:r w:rsidRPr="00EF7F93">
        <w:rPr>
          <w:rStyle w:val="a9"/>
          <w:color w:val="5E5E5E"/>
        </w:rPr>
        <w:t>. Расскажем о новых интересных позициях судов, которые включены в материалы</w:t>
      </w:r>
      <w:r w:rsidRPr="00EF7F93">
        <w:rPr>
          <w:rStyle w:val="a9"/>
          <w:color w:val="5E5E5E"/>
        </w:rPr>
        <w:t xml:space="preserve"> </w:t>
      </w:r>
    </w:p>
    <w:p w:rsidR="00EF7F93" w:rsidRPr="00EF7F93" w:rsidRDefault="00EF7F93" w:rsidP="00EF7F93">
      <w:pPr>
        <w:pStyle w:val="3"/>
        <w:shd w:val="clear" w:color="auto" w:fill="FFFFFF"/>
        <w:spacing w:before="0" w:after="240"/>
        <w:rPr>
          <w:bCs w:val="0"/>
          <w:sz w:val="24"/>
          <w:szCs w:val="24"/>
        </w:rPr>
      </w:pPr>
      <w:r w:rsidRPr="00EF7F93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5E189A6" wp14:editId="086A514B">
            <wp:simplePos x="0" y="0"/>
            <wp:positionH relativeFrom="column">
              <wp:posOffset>0</wp:posOffset>
            </wp:positionH>
            <wp:positionV relativeFrom="paragraph">
              <wp:posOffset>445770</wp:posOffset>
            </wp:positionV>
            <wp:extent cx="2286000" cy="1371600"/>
            <wp:effectExtent l="0" t="0" r="0" b="0"/>
            <wp:wrapSquare wrapText="bothSides"/>
            <wp:docPr id="3" name="Рисунок 3" descr="Проду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дукт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F93">
        <w:rPr>
          <w:bCs w:val="0"/>
          <w:sz w:val="24"/>
          <w:szCs w:val="24"/>
        </w:rPr>
        <w:t>Анализ судебной практики в помощь юристу</w:t>
      </w:r>
    </w:p>
    <w:p w:rsidR="00EF7F93" w:rsidRPr="00EF7F93" w:rsidRDefault="00EF7F93" w:rsidP="00EF7F93">
      <w:pPr>
        <w:pStyle w:val="a8"/>
        <w:shd w:val="clear" w:color="auto" w:fill="FFFFFF"/>
        <w:spacing w:before="0" w:after="240"/>
        <w:jc w:val="both"/>
      </w:pPr>
      <w:r w:rsidRPr="00EF7F93">
        <w:t xml:space="preserve">"Перспективы и риски судебных споров" - продукты, подготовленные специалистами </w:t>
      </w:r>
      <w:proofErr w:type="spellStart"/>
      <w:r w:rsidRPr="00EF7F93">
        <w:t>КонсультантПлюс</w:t>
      </w:r>
      <w:proofErr w:type="spellEnd"/>
      <w:r w:rsidRPr="00EF7F93">
        <w:t xml:space="preserve"> на основе масштабного анализа судебной практики. В них рассмотрены ситуации распространенных судебных споров по разным темам:</w:t>
      </w:r>
    </w:p>
    <w:p w:rsidR="00EF7F93" w:rsidRPr="00EF7F93" w:rsidRDefault="00EF7F93" w:rsidP="00EF7F93">
      <w:pPr>
        <w:pStyle w:val="a8"/>
        <w:shd w:val="clear" w:color="auto" w:fill="FFFFFF"/>
        <w:spacing w:before="0" w:after="240"/>
        <w:jc w:val="both"/>
      </w:pPr>
      <w:r w:rsidRPr="00EF7F93">
        <w:t>• </w:t>
      </w:r>
      <w:r w:rsidRPr="00EF7F93">
        <w:rPr>
          <w:color w:val="FF6609"/>
        </w:rPr>
        <w:t>"Перспективы и риски арбитражных споров"</w:t>
      </w:r>
      <w:r w:rsidRPr="00EF7F93">
        <w:t> или </w:t>
      </w:r>
      <w:r w:rsidRPr="00EF7F93">
        <w:rPr>
          <w:color w:val="FF6609"/>
        </w:rPr>
        <w:t xml:space="preserve">"Перспективы и риски арбитражных споров (Версия </w:t>
      </w:r>
      <w:proofErr w:type="spellStart"/>
      <w:proofErr w:type="gramStart"/>
      <w:r w:rsidRPr="00EF7F93">
        <w:rPr>
          <w:color w:val="FF6609"/>
        </w:rPr>
        <w:t>Проф</w:t>
      </w:r>
      <w:proofErr w:type="spellEnd"/>
      <w:proofErr w:type="gramEnd"/>
      <w:r w:rsidRPr="00EF7F93">
        <w:rPr>
          <w:color w:val="FF6609"/>
        </w:rPr>
        <w:t>)"</w:t>
      </w:r>
      <w:r w:rsidRPr="00EF7F93">
        <w:t xml:space="preserve"> - рассмотрены споры по договорам, налогам и взносам, споры с госорганами и др. Более 200 категорий споров, 2 900 ситуаций. Подобраны доказательства по ситуации и судебная практика к ним </w:t>
      </w:r>
      <w:proofErr w:type="gramStart"/>
      <w:r w:rsidRPr="00EF7F93">
        <w:t>-в</w:t>
      </w:r>
      <w:proofErr w:type="gramEnd"/>
      <w:r w:rsidRPr="00EF7F93">
        <w:t xml:space="preserve">сего 690 примеров доказательств (входят в "Перспективы и риски арбитражных споров (Версия </w:t>
      </w:r>
      <w:proofErr w:type="spellStart"/>
      <w:r w:rsidRPr="00EF7F93">
        <w:t>Проф</w:t>
      </w:r>
      <w:proofErr w:type="spellEnd"/>
      <w:r w:rsidRPr="00EF7F93">
        <w:t>)");</w:t>
      </w:r>
    </w:p>
    <w:p w:rsidR="00EF7F93" w:rsidRPr="00EF7F93" w:rsidRDefault="00EF7F93" w:rsidP="00EF7F93">
      <w:pPr>
        <w:pStyle w:val="a8"/>
        <w:shd w:val="clear" w:color="auto" w:fill="FFFFFF"/>
        <w:spacing w:before="0" w:after="240"/>
        <w:jc w:val="both"/>
      </w:pPr>
      <w:r w:rsidRPr="00EF7F93">
        <w:t>• </w:t>
      </w:r>
      <w:r w:rsidRPr="00EF7F93">
        <w:rPr>
          <w:color w:val="FF6609"/>
        </w:rPr>
        <w:t>"Перспективы и риски споров в суде общей юрисдикции"</w:t>
      </w:r>
      <w:r w:rsidRPr="00EF7F93">
        <w:t> - трудовые, административные споры, споры с потребителями, по страхованию, по недвижимости, по займам, споры с банками и др. Более 145 категорий споров, более 1 200 ситуаций.</w:t>
      </w:r>
    </w:p>
    <w:p w:rsidR="00EF7F93" w:rsidRPr="00EF7F93" w:rsidRDefault="00EF7F93" w:rsidP="00EF7F93">
      <w:pPr>
        <w:pStyle w:val="a8"/>
        <w:shd w:val="clear" w:color="auto" w:fill="FFFFFF"/>
        <w:spacing w:before="0" w:after="240"/>
        <w:jc w:val="both"/>
      </w:pPr>
      <w:r w:rsidRPr="00EF7F93">
        <w:t xml:space="preserve">Представленная информация поможет быстро найти судебную практику по интересующим спорам, посмотреть, как решали их суды, определить стратегию действий для своей ситуации (см. пример </w:t>
      </w:r>
      <w:proofErr w:type="gramStart"/>
      <w:r w:rsidRPr="00EF7F93">
        <w:t>на</w:t>
      </w:r>
      <w:proofErr w:type="gramEnd"/>
      <w:r w:rsidRPr="00EF7F93">
        <w:t xml:space="preserve"> с. 4).</w:t>
      </w:r>
    </w:p>
    <w:p w:rsidR="00EF7F93" w:rsidRPr="00EF7F93" w:rsidRDefault="00EF7F93" w:rsidP="00EF7F93">
      <w:pPr>
        <w:pStyle w:val="3"/>
        <w:shd w:val="clear" w:color="auto" w:fill="FFFFFF"/>
        <w:spacing w:before="0" w:after="240"/>
        <w:jc w:val="both"/>
        <w:rPr>
          <w:bCs w:val="0"/>
          <w:sz w:val="24"/>
          <w:szCs w:val="24"/>
        </w:rPr>
      </w:pPr>
      <w:r w:rsidRPr="00EF7F93">
        <w:rPr>
          <w:bCs w:val="0"/>
          <w:sz w:val="24"/>
          <w:szCs w:val="24"/>
        </w:rPr>
        <w:t>Примеры судебных решений в пользу каждой стороны</w:t>
      </w:r>
    </w:p>
    <w:p w:rsidR="00EF7F93" w:rsidRPr="00EF7F93" w:rsidRDefault="00EF7F93" w:rsidP="00EF7F93">
      <w:pPr>
        <w:pStyle w:val="a8"/>
        <w:shd w:val="clear" w:color="auto" w:fill="FFFFFF"/>
        <w:spacing w:before="0" w:after="0"/>
        <w:jc w:val="both"/>
      </w:pPr>
      <w:r w:rsidRPr="00EF7F93">
        <w:t xml:space="preserve">Каждый материал - отдельная ситуация по конкретной теме, в нем </w:t>
      </w:r>
      <w:proofErr w:type="gramStart"/>
      <w:r w:rsidRPr="00EF7F93">
        <w:t>рассмотрены</w:t>
      </w:r>
      <w:proofErr w:type="gramEnd"/>
      <w:r w:rsidRPr="00EF7F93">
        <w:t>:</w:t>
      </w:r>
    </w:p>
    <w:p w:rsidR="00EF7F93" w:rsidRPr="00EF7F93" w:rsidRDefault="00EF7F93" w:rsidP="00EF7F93">
      <w:pPr>
        <w:pStyle w:val="a8"/>
        <w:shd w:val="clear" w:color="auto" w:fill="FFFFFF"/>
        <w:spacing w:before="0" w:after="0"/>
        <w:jc w:val="both"/>
      </w:pPr>
      <w:r w:rsidRPr="00EF7F93">
        <w:t>• обстоятельства дела;</w:t>
      </w:r>
    </w:p>
    <w:p w:rsidR="00EF7F93" w:rsidRPr="00EF7F93" w:rsidRDefault="00EF7F93" w:rsidP="00EF7F93">
      <w:pPr>
        <w:pStyle w:val="a8"/>
        <w:shd w:val="clear" w:color="auto" w:fill="FFFFFF"/>
        <w:spacing w:before="0" w:after="0"/>
        <w:jc w:val="both"/>
      </w:pPr>
      <w:r w:rsidRPr="00EF7F93">
        <w:t>• требования истца;</w:t>
      </w:r>
    </w:p>
    <w:p w:rsidR="00EF7F93" w:rsidRPr="00EF7F93" w:rsidRDefault="00EF7F93" w:rsidP="00EF7F93">
      <w:pPr>
        <w:pStyle w:val="a8"/>
        <w:shd w:val="clear" w:color="auto" w:fill="FFFFFF"/>
        <w:spacing w:before="0" w:after="0"/>
        <w:jc w:val="both"/>
      </w:pPr>
      <w:r w:rsidRPr="00EF7F93">
        <w:t>• перспективы и риски спора (что нужно доказать истцу, причины отказа в иске, встречные требования ответчика);</w:t>
      </w:r>
    </w:p>
    <w:p w:rsidR="00EF7F93" w:rsidRPr="00EF7F93" w:rsidRDefault="00EF7F93" w:rsidP="00EF7F93">
      <w:pPr>
        <w:pStyle w:val="a8"/>
        <w:shd w:val="clear" w:color="auto" w:fill="FFFFFF"/>
        <w:spacing w:before="0" w:after="0"/>
        <w:jc w:val="both"/>
      </w:pPr>
      <w:r w:rsidRPr="00EF7F93">
        <w:t>• примеры судебных решений в пользу каждой стороны спора.</w:t>
      </w:r>
    </w:p>
    <w:p w:rsidR="00EF7F93" w:rsidRDefault="00EF7F93" w:rsidP="00EF7F93">
      <w:pPr>
        <w:pStyle w:val="a8"/>
        <w:shd w:val="clear" w:color="auto" w:fill="FFFFFF"/>
        <w:spacing w:before="0" w:after="0"/>
        <w:jc w:val="both"/>
      </w:pPr>
    </w:p>
    <w:p w:rsidR="00EF7F93" w:rsidRPr="00EF7F93" w:rsidRDefault="00EF7F93" w:rsidP="00EF7F93">
      <w:pPr>
        <w:pStyle w:val="a8"/>
        <w:shd w:val="clear" w:color="auto" w:fill="FFFFFF"/>
        <w:spacing w:before="0" w:after="0"/>
        <w:jc w:val="both"/>
      </w:pPr>
      <w:r w:rsidRPr="00EF7F93">
        <w:t xml:space="preserve">Уникальные материалы "Доказательства и доказывание", включенные в "Перспективы и риски арбитражных споров (Версия </w:t>
      </w:r>
      <w:proofErr w:type="spellStart"/>
      <w:proofErr w:type="gramStart"/>
      <w:r w:rsidRPr="00EF7F93">
        <w:t>Проф</w:t>
      </w:r>
      <w:proofErr w:type="spellEnd"/>
      <w:proofErr w:type="gramEnd"/>
      <w:r w:rsidRPr="00EF7F93">
        <w:t>)", позволят увидеть перечень возможных доказательств по рассмотренным спорам, а также поработать с подборкой судебных актов, в которых использовались эти доказательства.</w:t>
      </w:r>
    </w:p>
    <w:p w:rsidR="00EF7F93" w:rsidRDefault="00EF7F93" w:rsidP="00EF7F93">
      <w:pPr>
        <w:pStyle w:val="a8"/>
        <w:shd w:val="clear" w:color="auto" w:fill="FFFFFF"/>
        <w:spacing w:before="0" w:after="0"/>
        <w:jc w:val="both"/>
      </w:pPr>
    </w:p>
    <w:p w:rsidR="00EF7F93" w:rsidRPr="00EF7F93" w:rsidRDefault="00EF7F93" w:rsidP="00EF7F93">
      <w:pPr>
        <w:pStyle w:val="a8"/>
        <w:shd w:val="clear" w:color="auto" w:fill="FFFFFF"/>
        <w:spacing w:before="0" w:after="0"/>
        <w:jc w:val="both"/>
      </w:pPr>
      <w:r w:rsidRPr="00EF7F93">
        <w:t>Все материалы регулярно актуализируются. Например, в конце 2024 г. были существенно изменены правила по уплате судебных госпошлин, а также суды дали важные разъяснения по порядку индексации присужденных денежных сумм. Эти правовые позиции были добавлены в материалы.</w:t>
      </w:r>
    </w:p>
    <w:p w:rsidR="00EF7F93" w:rsidRDefault="00EF7F93" w:rsidP="00EF7F93">
      <w:pPr>
        <w:pStyle w:val="3"/>
        <w:shd w:val="clear" w:color="auto" w:fill="FFFFFF"/>
        <w:spacing w:before="0" w:after="240"/>
        <w:jc w:val="both"/>
        <w:rPr>
          <w:b w:val="0"/>
          <w:bCs w:val="0"/>
          <w:sz w:val="24"/>
          <w:szCs w:val="24"/>
        </w:rPr>
      </w:pPr>
    </w:p>
    <w:p w:rsidR="00EF7F93" w:rsidRPr="00EF7F93" w:rsidRDefault="00EF7F93" w:rsidP="00EF7F93">
      <w:pPr>
        <w:pStyle w:val="3"/>
        <w:shd w:val="clear" w:color="auto" w:fill="FFFFFF"/>
        <w:spacing w:before="0" w:after="240"/>
        <w:jc w:val="both"/>
        <w:rPr>
          <w:bCs w:val="0"/>
          <w:sz w:val="24"/>
          <w:szCs w:val="24"/>
        </w:rPr>
      </w:pPr>
      <w:r w:rsidRPr="00EF7F93">
        <w:rPr>
          <w:bCs w:val="0"/>
          <w:sz w:val="24"/>
          <w:szCs w:val="24"/>
        </w:rPr>
        <w:lastRenderedPageBreak/>
        <w:t>Споры по уплате судебных госпошлин</w:t>
      </w:r>
    </w:p>
    <w:p w:rsidR="00EF7F93" w:rsidRPr="00EF7F93" w:rsidRDefault="00EF7F93" w:rsidP="00EF7F93">
      <w:pPr>
        <w:pStyle w:val="a8"/>
        <w:shd w:val="clear" w:color="auto" w:fill="FFFFFF"/>
        <w:spacing w:before="0" w:after="240"/>
        <w:jc w:val="both"/>
      </w:pPr>
      <w:r w:rsidRPr="00EF7F93">
        <w:t>19 ноября 2024 г. Верховный суд РФ в </w:t>
      </w:r>
      <w:hyperlink r:id="rId10" w:tgtFrame="_blank" w:history="1">
        <w:r w:rsidRPr="00EF7F93">
          <w:rPr>
            <w:rStyle w:val="a7"/>
            <w:color w:val="1200D4"/>
          </w:rPr>
          <w:t>Постановлении Пленума № 32</w:t>
        </w:r>
      </w:hyperlink>
      <w:r w:rsidRPr="00EF7F93">
        <w:t> признал утратившими силу и не подлежащими применению отдельные разъяснения по уплате госпошлины, противоречащие действующим положениям НК РФ.</w:t>
      </w:r>
    </w:p>
    <w:p w:rsidR="00EF7F93" w:rsidRPr="00EF7F93" w:rsidRDefault="00EF7F93" w:rsidP="00EF7F93">
      <w:pPr>
        <w:pStyle w:val="a8"/>
        <w:shd w:val="clear" w:color="auto" w:fill="FFFFFF"/>
        <w:spacing w:before="0" w:after="240"/>
        <w:jc w:val="both"/>
      </w:pPr>
      <w:r w:rsidRPr="00EF7F93">
        <w:t>В частности, утратило силу разъяснение о том, что освобождение заинтересованного лица от уплаты госпошлины означает освобождение его от уплаты госпошлины по делу в целом, в том числе при подаче жалоб на судебные акты по данному делу.</w:t>
      </w:r>
    </w:p>
    <w:p w:rsidR="00EF7F93" w:rsidRPr="00EF7F93" w:rsidRDefault="00EF7F93" w:rsidP="00EF7F93">
      <w:pPr>
        <w:pStyle w:val="a8"/>
        <w:shd w:val="clear" w:color="auto" w:fill="FFFFFF"/>
        <w:spacing w:before="0" w:after="240"/>
        <w:jc w:val="both"/>
      </w:pPr>
      <w:r w:rsidRPr="00EF7F93">
        <w:t>В "Перспективы и риски судебных споров" добавлены обновленные разъяснения ВС РФ из </w:t>
      </w:r>
      <w:hyperlink r:id="rId11" w:tgtFrame="_blank" w:history="1">
        <w:r w:rsidRPr="00EF7F93">
          <w:rPr>
            <w:rStyle w:val="a7"/>
            <w:color w:val="1200D4"/>
          </w:rPr>
          <w:t>Обзора судебной практики № 2, 3 (2024)</w:t>
        </w:r>
      </w:hyperlink>
      <w:r w:rsidRPr="00EF7F93">
        <w:t>. Отражено, какие категории льготных заявителей освобождаются от уплаты госпошлины по делу в целом, а для каких при обжаловании судебного акта законное освобождение уже не действует.</w:t>
      </w:r>
    </w:p>
    <w:p w:rsidR="00EF7F93" w:rsidRPr="00EF7F93" w:rsidRDefault="00EF7F93" w:rsidP="00EF7F93">
      <w:pPr>
        <w:pStyle w:val="a8"/>
        <w:shd w:val="clear" w:color="auto" w:fill="FFFFFF"/>
        <w:spacing w:before="0" w:after="240"/>
        <w:jc w:val="both"/>
        <w:rPr>
          <w:b/>
        </w:rPr>
      </w:pPr>
      <w:r w:rsidRPr="00EF7F93">
        <w:rPr>
          <w:b/>
        </w:rPr>
        <w:t>См. материалы:</w:t>
      </w:r>
    </w:p>
    <w:p w:rsidR="00EF7F93" w:rsidRPr="00EF7F93" w:rsidRDefault="00EF7F93" w:rsidP="00EF7F93">
      <w:pPr>
        <w:pStyle w:val="a8"/>
        <w:shd w:val="clear" w:color="auto" w:fill="FFFFFF"/>
        <w:spacing w:before="0" w:after="240"/>
        <w:jc w:val="both"/>
      </w:pPr>
      <w:r w:rsidRPr="00EF7F93">
        <w:t>• </w:t>
      </w:r>
      <w:r w:rsidRPr="00EF7F93">
        <w:rPr>
          <w:color w:val="FF6609"/>
        </w:rPr>
        <w:t>"Перспективы и риски арбитражного спора:</w:t>
      </w:r>
      <w:r w:rsidRPr="00EF7F93">
        <w:t xml:space="preserve"> Обжалование определений судов вышестоящих инстанций: Заявитель хочет отменить определение о возвращении кассационной жалобы, вынесенное в связи с </w:t>
      </w:r>
      <w:proofErr w:type="spellStart"/>
      <w:r w:rsidRPr="00EF7F93">
        <w:t>неустранением</w:t>
      </w:r>
      <w:proofErr w:type="spellEnd"/>
      <w:r w:rsidRPr="00EF7F93">
        <w:t xml:space="preserve"> обстоятельств, послуживших основанием для оставления жалобы без движения";</w:t>
      </w:r>
    </w:p>
    <w:p w:rsidR="00EF7F93" w:rsidRPr="00EF7F93" w:rsidRDefault="00EF7F93" w:rsidP="00EF7F93">
      <w:pPr>
        <w:pStyle w:val="a8"/>
        <w:shd w:val="clear" w:color="auto" w:fill="FFFFFF"/>
        <w:spacing w:before="0" w:after="240"/>
        <w:jc w:val="both"/>
      </w:pPr>
      <w:r w:rsidRPr="00EF7F93">
        <w:t>• </w:t>
      </w:r>
      <w:r w:rsidRPr="00EF7F93">
        <w:rPr>
          <w:color w:val="FF6609"/>
        </w:rPr>
        <w:t>"Перспективы и риски арбитражного спора:</w:t>
      </w:r>
      <w:r w:rsidRPr="00EF7F93">
        <w:t> Государственная пошлина: Сторона арбитражного спора считает, что освобождена от уплаты госпошлины, и не согласна с ее взысканием в бюджет или возвратом (оставлением без движения) жалобы из-за неуплаты".</w:t>
      </w:r>
    </w:p>
    <w:p w:rsidR="00EF7F93" w:rsidRPr="00EF7F93" w:rsidRDefault="00EF7F93" w:rsidP="00EF7F93">
      <w:pPr>
        <w:pStyle w:val="3"/>
        <w:shd w:val="clear" w:color="auto" w:fill="FFFFFF"/>
        <w:spacing w:before="0" w:after="240"/>
        <w:jc w:val="both"/>
        <w:rPr>
          <w:bCs w:val="0"/>
          <w:sz w:val="24"/>
          <w:szCs w:val="24"/>
        </w:rPr>
      </w:pPr>
      <w:r w:rsidRPr="00EF7F93">
        <w:rPr>
          <w:bCs w:val="0"/>
          <w:sz w:val="24"/>
          <w:szCs w:val="24"/>
        </w:rPr>
        <w:t>Споры по индексации присужденных денежных сумм</w:t>
      </w:r>
    </w:p>
    <w:p w:rsidR="00EF7F93" w:rsidRPr="00EF7F93" w:rsidRDefault="00EF7F93" w:rsidP="00EF7F93">
      <w:pPr>
        <w:pStyle w:val="a8"/>
        <w:shd w:val="clear" w:color="auto" w:fill="FFFFFF"/>
        <w:spacing w:before="0" w:after="240"/>
        <w:jc w:val="both"/>
      </w:pPr>
      <w:r w:rsidRPr="00EF7F93">
        <w:t>Во втором полугодии 2024 г. был разъяснен порядок индексации присужденных судом денежных сумм. По общему правилу сейчас используется официальная статистическая информация об индексе потребительских цен (тарифов) на товары и услуги в РФ с сайта Росстата, но до конца неясно, с какой даты производить такую индексацию.</w:t>
      </w:r>
    </w:p>
    <w:p w:rsidR="00EF7F93" w:rsidRPr="00EF7F93" w:rsidRDefault="00EF7F93" w:rsidP="00EF7F93">
      <w:pPr>
        <w:pStyle w:val="a8"/>
        <w:shd w:val="clear" w:color="auto" w:fill="FFFFFF"/>
        <w:spacing w:before="0" w:after="240"/>
        <w:jc w:val="both"/>
      </w:pPr>
      <w:r w:rsidRPr="00EF7F93">
        <w:t>Признавая законодательный пробел, Конституционный суд РФ в своем </w:t>
      </w:r>
      <w:hyperlink r:id="rId12" w:tgtFrame="_blank" w:history="1">
        <w:r w:rsidRPr="00EF7F93">
          <w:rPr>
            <w:rStyle w:val="a7"/>
            <w:color w:val="1200D4"/>
          </w:rPr>
          <w:t>Постановлении от 20.06.2024 № 31-П</w:t>
        </w:r>
      </w:hyperlink>
      <w:r w:rsidRPr="00EF7F93">
        <w:t> указал, что впредь до внесения в действующее правовое регулирование изменений взыскатель или должник вправе обратиться в арбитражный суд с заявлением об индексации присужденных денежных сумм в срок, не превышающий одного года со дня исполнения должником судебного акта. По заявлению взыскателя или должника этот срок может быть восстановлен судом, если он был пропущен по уважительным причинам.</w:t>
      </w:r>
    </w:p>
    <w:p w:rsidR="00EF7F93" w:rsidRPr="00EF7F93" w:rsidRDefault="00EF7F93" w:rsidP="00EF7F93">
      <w:pPr>
        <w:pStyle w:val="a8"/>
        <w:shd w:val="clear" w:color="auto" w:fill="FFFFFF"/>
        <w:spacing w:before="0" w:after="240"/>
        <w:jc w:val="both"/>
      </w:pPr>
      <w:r w:rsidRPr="00EF7F93">
        <w:t>В конце декабря 2024 г. Президиум Верховного суда РФ утвердил </w:t>
      </w:r>
      <w:hyperlink r:id="rId13" w:tgtFrame="_blank" w:history="1">
        <w:r w:rsidRPr="00EF7F93">
          <w:rPr>
            <w:rStyle w:val="a7"/>
            <w:color w:val="1200D4"/>
          </w:rPr>
          <w:t>Обзор судебной практики</w:t>
        </w:r>
      </w:hyperlink>
      <w:r w:rsidRPr="00EF7F93">
        <w:t> по вопросам, связанным с индексацией присужденных судом денежных сумм на день исполнения решения суда, в котором обобщил практику по данному вопросу.</w:t>
      </w:r>
    </w:p>
    <w:p w:rsidR="00EF7F93" w:rsidRPr="00EF7F93" w:rsidRDefault="00EF7F93" w:rsidP="00EF7F93">
      <w:pPr>
        <w:pStyle w:val="a8"/>
        <w:shd w:val="clear" w:color="auto" w:fill="FFFFFF"/>
        <w:spacing w:before="0" w:after="240"/>
        <w:jc w:val="both"/>
      </w:pPr>
      <w:r w:rsidRPr="00EF7F93">
        <w:t xml:space="preserve">Эксперты </w:t>
      </w:r>
      <w:proofErr w:type="spellStart"/>
      <w:r w:rsidRPr="00EF7F93">
        <w:t>КонсультантПлюс</w:t>
      </w:r>
      <w:proofErr w:type="spellEnd"/>
      <w:r w:rsidRPr="00EF7F93">
        <w:t xml:space="preserve"> подробно отразили правовые позиции, касающиеся индексации денежных сумм, в материале "</w:t>
      </w:r>
      <w:r w:rsidRPr="00EF7F93">
        <w:rPr>
          <w:color w:val="FF6609"/>
        </w:rPr>
        <w:t>Перспективы и риски арбитражного спора:</w:t>
      </w:r>
      <w:r w:rsidRPr="00EF7F93">
        <w:t> Обжалование определений суда 1-й инстанции об исполнении актов различных судов и присуждение компенсации за нарушение прав на исполнение судебного акта в разумный срок: Заявитель хочет отменить определение об отказе в удовлетворении заявления об индексации денежных сумм".</w:t>
      </w:r>
    </w:p>
    <w:p w:rsidR="00C86604" w:rsidRPr="00EF7F93" w:rsidRDefault="00C86604" w:rsidP="00EF7F93">
      <w:bookmarkStart w:id="0" w:name="_GoBack"/>
      <w:bookmarkEnd w:id="0"/>
    </w:p>
    <w:sectPr w:rsidR="00C86604" w:rsidRPr="00EF7F93" w:rsidSect="000E1C0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152" w:rsidRDefault="00FB6152">
      <w:r>
        <w:separator/>
      </w:r>
    </w:p>
  </w:endnote>
  <w:endnote w:type="continuationSeparator" w:id="0">
    <w:p w:rsidR="00FB6152" w:rsidRDefault="00FB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003EE1">
    <w:pPr>
      <w:pStyle w:val="a5"/>
    </w:pPr>
    <w:r>
      <w:t>__________________________________________________________________________________</w:t>
    </w:r>
  </w:p>
  <w:p w:rsidR="00FB6152" w:rsidRDefault="00FB6152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B6152" w:rsidRPr="00740EAD" w:rsidRDefault="00FB6152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r w:rsidR="00EF7F93">
      <w:fldChar w:fldCharType="begin"/>
    </w:r>
    <w:r w:rsidR="00EF7F93" w:rsidRPr="00C86604">
      <w:rPr>
        <w:lang w:val="en-US"/>
      </w:rPr>
      <w:instrText xml:space="preserve"> HYPERLINK "http://www.cons66.ru" </w:instrText>
    </w:r>
    <w:r w:rsidR="00EF7F93"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740EAD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740EAD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 w:rsidR="00EF7F93">
      <w:rPr>
        <w:rStyle w:val="a7"/>
        <w:b/>
        <w:sz w:val="18"/>
        <w:szCs w:val="18"/>
        <w:lang w:val="en-US"/>
      </w:rPr>
      <w:fldChar w:fldCharType="end"/>
    </w:r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r w:rsidR="00EF7F93">
      <w:fldChar w:fldCharType="begin"/>
    </w:r>
    <w:r w:rsidR="00EF7F93" w:rsidRPr="00C86604">
      <w:rPr>
        <w:lang w:val="en-US"/>
      </w:rPr>
      <w:instrText xml:space="preserve"> HYPERLINK "mailto:gl@cons66.ru" </w:instrText>
    </w:r>
    <w:r w:rsidR="00EF7F93">
      <w:fldChar w:fldCharType="separate"/>
    </w:r>
    <w:r w:rsidRPr="00F60D2F">
      <w:rPr>
        <w:rStyle w:val="a7"/>
        <w:b/>
        <w:sz w:val="18"/>
        <w:szCs w:val="18"/>
        <w:lang w:val="en-US"/>
      </w:rPr>
      <w:t>gl@cons66.ru</w:t>
    </w:r>
    <w:r w:rsidR="00EF7F93">
      <w:rPr>
        <w:rStyle w:val="a7"/>
        <w:b/>
        <w:sz w:val="18"/>
        <w:szCs w:val="18"/>
        <w:lang w:val="en-US"/>
      </w:rPr>
      <w:fldChar w:fldCharType="end"/>
    </w:r>
  </w:p>
  <w:p w:rsidR="00FB6152" w:rsidRPr="00740EAD" w:rsidRDefault="00FB6152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E52D81">
    <w:pPr>
      <w:pStyle w:val="a5"/>
    </w:pPr>
    <w:r>
      <w:t>__________________________________________________________________________________</w:t>
    </w:r>
  </w:p>
  <w:p w:rsidR="00FB6152" w:rsidRDefault="00FB6152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B6152" w:rsidRPr="00047304" w:rsidRDefault="00FB6152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r w:rsidR="00EF7F93">
      <w:fldChar w:fldCharType="begin"/>
    </w:r>
    <w:r w:rsidR="00EF7F93" w:rsidRPr="00C86604">
      <w:rPr>
        <w:lang w:val="en-US"/>
      </w:rPr>
      <w:instrText xml:space="preserve"> HYPERLINK "http://www.cons66.ru" </w:instrText>
    </w:r>
    <w:r w:rsidR="00EF7F93"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E52D81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E52D81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 w:rsidR="00EF7F93">
      <w:rPr>
        <w:rStyle w:val="a7"/>
        <w:b/>
        <w:sz w:val="18"/>
        <w:szCs w:val="18"/>
        <w:lang w:val="en-US"/>
      </w:rPr>
      <w:fldChar w:fldCharType="end"/>
    </w:r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1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FB6152" w:rsidRDefault="00FB6152" w:rsidP="00740EAD">
    <w:pPr>
      <w:rPr>
        <w:lang w:val="en-US"/>
      </w:rPr>
    </w:pPr>
  </w:p>
  <w:p w:rsidR="00FB6152" w:rsidRPr="00740EAD" w:rsidRDefault="00FB6152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152" w:rsidRDefault="00FB6152">
      <w:r>
        <w:separator/>
      </w:r>
    </w:p>
  </w:footnote>
  <w:footnote w:type="continuationSeparator" w:id="0">
    <w:p w:rsidR="00FB6152" w:rsidRDefault="00FB6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03CEBB50" wp14:editId="2CF4A2D6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017BD1D" wp14:editId="69BEE56A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152" w:rsidRDefault="00FB6152" w:rsidP="00B956A8">
    <w:pPr>
      <w:rPr>
        <w:sz w:val="6"/>
        <w:szCs w:val="6"/>
      </w:rPr>
    </w:pPr>
  </w:p>
  <w:p w:rsidR="00FB6152" w:rsidRDefault="00FB6152" w:rsidP="00B956A8">
    <w:pPr>
      <w:rPr>
        <w:sz w:val="6"/>
        <w:szCs w:val="6"/>
      </w:rPr>
    </w:pPr>
  </w:p>
  <w:p w:rsidR="00FB6152" w:rsidRPr="00446348" w:rsidRDefault="00FB6152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5B73F237" wp14:editId="0A20189A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C5C7FA6" wp14:editId="5399C384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4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32"/>
  </w:num>
  <w:num w:numId="6">
    <w:abstractNumId w:val="1"/>
  </w:num>
  <w:num w:numId="7">
    <w:abstractNumId w:val="21"/>
  </w:num>
  <w:num w:numId="8">
    <w:abstractNumId w:val="23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31"/>
  </w:num>
  <w:num w:numId="14">
    <w:abstractNumId w:val="18"/>
  </w:num>
  <w:num w:numId="15">
    <w:abstractNumId w:val="25"/>
  </w:num>
  <w:num w:numId="16">
    <w:abstractNumId w:val="28"/>
  </w:num>
  <w:num w:numId="17">
    <w:abstractNumId w:val="5"/>
  </w:num>
  <w:num w:numId="18">
    <w:abstractNumId w:val="9"/>
  </w:num>
  <w:num w:numId="19">
    <w:abstractNumId w:val="10"/>
  </w:num>
  <w:num w:numId="20">
    <w:abstractNumId w:val="19"/>
  </w:num>
  <w:num w:numId="21">
    <w:abstractNumId w:val="12"/>
  </w:num>
  <w:num w:numId="22">
    <w:abstractNumId w:val="27"/>
  </w:num>
  <w:num w:numId="23">
    <w:abstractNumId w:val="15"/>
  </w:num>
  <w:num w:numId="24">
    <w:abstractNumId w:val="13"/>
  </w:num>
  <w:num w:numId="25">
    <w:abstractNumId w:val="17"/>
  </w:num>
  <w:num w:numId="26">
    <w:abstractNumId w:val="7"/>
  </w:num>
  <w:num w:numId="27">
    <w:abstractNumId w:val="20"/>
  </w:num>
  <w:num w:numId="28">
    <w:abstractNumId w:val="29"/>
  </w:num>
  <w:num w:numId="29">
    <w:abstractNumId w:val="30"/>
  </w:num>
  <w:num w:numId="30">
    <w:abstractNumId w:val="16"/>
  </w:num>
  <w:num w:numId="31">
    <w:abstractNumId w:val="26"/>
  </w:num>
  <w:num w:numId="32">
    <w:abstractNumId w:val="2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5CB9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1DE9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86604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6B2A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EAE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EF7F93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6152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1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3491&amp;dst=100002%2C-1&amp;date=19.02.202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9070&amp;dst=100001&amp;date=19.02.202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1650&amp;dst=100002%2C-1&amp;date=19.02.202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150571&amp;dst=100001&amp;date=19.02.202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l@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AB039-36D8-4B5D-B9E8-CFD1D2E1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5617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2022-10-14T11:09:00Z</cp:lastPrinted>
  <dcterms:created xsi:type="dcterms:W3CDTF">2025-03-11T06:05:00Z</dcterms:created>
  <dcterms:modified xsi:type="dcterms:W3CDTF">2025-03-11T06:05:00Z</dcterms:modified>
</cp:coreProperties>
</file>