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7E2DD5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7E2DD5">
        <w:t>Бухгалтеру</w:t>
      </w:r>
    </w:p>
    <w:p w:rsidR="00445CB9" w:rsidRDefault="00445CB9" w:rsidP="007E2DD5">
      <w:pPr>
        <w:autoSpaceDE w:val="0"/>
        <w:autoSpaceDN w:val="0"/>
        <w:adjustRightInd w:val="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E2DD5">
        <w:rPr>
          <w:rFonts w:ascii="Times New Roman" w:hAnsi="Times New Roman" w:cs="Times New Roman"/>
          <w:sz w:val="24"/>
          <w:szCs w:val="24"/>
        </w:rPr>
        <w:t>НАЛОГИ И ОТЧЕТНОСТЬ В МАРТЕ 2025 ГОДА: ОСНОВНЫЕ ИЗМЕНЕНИЯ</w:t>
      </w:r>
    </w:p>
    <w:p w:rsidR="007E2DD5" w:rsidRPr="007E2DD5" w:rsidRDefault="007E2DD5" w:rsidP="007E2DD5">
      <w:pPr>
        <w:autoSpaceDE w:val="0"/>
        <w:autoSpaceDN w:val="0"/>
        <w:adjustRightInd w:val="0"/>
        <w:jc w:val="both"/>
        <w:outlineLvl w:val="0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>Не позднее 25 марта организации должны подать декларацию по УСН по обновленной форме. С 1 марта инспекции не принимают доверенности по формату 5.01. Срок действия старого формата счета-фактуры и УПД заканчивается 31 марта. Об этих и других изменениях - в обзоре.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11" w:history="1">
        <w:r w:rsidRPr="007E2DD5">
          <w:rPr>
            <w:color w:val="0000FF"/>
          </w:rPr>
          <w:t>Декларация по УСН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18" w:history="1">
        <w:r w:rsidRPr="007E2DD5">
          <w:rPr>
            <w:color w:val="0000FF"/>
          </w:rPr>
          <w:t>Формат электронной доверенности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22" w:history="1">
        <w:r w:rsidRPr="007E2DD5">
          <w:rPr>
            <w:color w:val="0000FF"/>
          </w:rPr>
          <w:t>Формат счета-фактуры и УПД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26" w:history="1">
        <w:r w:rsidRPr="007E2DD5">
          <w:rPr>
            <w:color w:val="0000FF"/>
          </w:rPr>
          <w:t>Формат электронного счета на оплату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30" w:history="1">
        <w:r w:rsidRPr="007E2DD5">
          <w:rPr>
            <w:color w:val="0000FF"/>
          </w:rPr>
          <w:t>Выездные проверки ИТ-компаний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</w:t>
      </w:r>
      <w:hyperlink w:anchor="Par34" w:history="1">
        <w:r w:rsidRPr="007E2DD5">
          <w:rPr>
            <w:color w:val="0000FF"/>
          </w:rPr>
          <w:t>Регистрация и применение ККТ</w:t>
        </w:r>
      </w:hyperlink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"/>
      <w:bookmarkEnd w:id="0"/>
      <w:r w:rsidRPr="007E2DD5">
        <w:rPr>
          <w:rFonts w:ascii="Times New Roman" w:hAnsi="Times New Roman" w:cs="Times New Roman"/>
          <w:sz w:val="24"/>
          <w:szCs w:val="24"/>
        </w:rPr>
        <w:t>Декларация по УСН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Не позднее 25 марта организациям нужно подать декларацию по УСН за 2024 год по </w:t>
      </w:r>
      <w:hyperlink r:id="rId9" w:history="1">
        <w:r w:rsidRPr="007E2DD5">
          <w:t>новой форме</w:t>
        </w:r>
      </w:hyperlink>
      <w:r w:rsidRPr="007E2DD5">
        <w:t>. Обновили также </w:t>
      </w:r>
      <w:hyperlink r:id="rId10" w:history="1">
        <w:r w:rsidRPr="007E2DD5">
          <w:t>порядок заполнения</w:t>
        </w:r>
      </w:hyperlink>
      <w:r w:rsidRPr="007E2DD5">
        <w:t xml:space="preserve"> и </w:t>
      </w:r>
      <w:hyperlink r:id="rId11" w:history="1">
        <w:r w:rsidRPr="007E2DD5">
          <w:t>формат подачи</w:t>
        </w:r>
      </w:hyperlink>
      <w:r w:rsidRPr="007E2DD5">
        <w:t>. Изменения в основном технические. Выделим такие: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в титульный лист добавили </w:t>
      </w:r>
      <w:hyperlink r:id="rId12" w:history="1">
        <w:r w:rsidRPr="007E2DD5">
          <w:t>поле</w:t>
        </w:r>
      </w:hyperlink>
      <w:r w:rsidRPr="007E2DD5">
        <w:t>, в котором нужно указывать объект обложения "1" (доходы) или "2" (доходы минус расходы);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обновили порядок заполнения поля "Достоверность и полноту сведений, указанных в настоящей декларации, подтверждаю". Так, для электронной доверенности в поле </w:t>
      </w:r>
      <w:hyperlink r:id="rId13" w:history="1">
        <w:r w:rsidRPr="007E2DD5">
          <w:t>нужно приводить</w:t>
        </w:r>
      </w:hyperlink>
      <w:r w:rsidRPr="007E2DD5">
        <w:t xml:space="preserve"> ее GUID;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изменили </w:t>
      </w:r>
      <w:proofErr w:type="spellStart"/>
      <w:r w:rsidRPr="007E2DD5">
        <w:t>штрихкоды</w:t>
      </w:r>
      <w:proofErr w:type="spellEnd"/>
      <w:r w:rsidRPr="007E2DD5">
        <w:t>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7E2DD5">
        <w:rPr>
          <w:rFonts w:ascii="Times New Roman" w:hAnsi="Times New Roman" w:cs="Times New Roman"/>
          <w:sz w:val="24"/>
          <w:szCs w:val="24"/>
        </w:rPr>
        <w:t>Формат электронной доверенности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hyperlink r:id="rId14" w:history="1">
        <w:r w:rsidRPr="007E2DD5">
          <w:t>С 1 марта</w:t>
        </w:r>
      </w:hyperlink>
      <w:r w:rsidRPr="007E2DD5">
        <w:t xml:space="preserve"> инспекции не принимают доверенности по </w:t>
      </w:r>
      <w:hyperlink r:id="rId15" w:history="1">
        <w:r w:rsidRPr="007E2DD5">
          <w:t>формату 5.01</w:t>
        </w:r>
      </w:hyperlink>
      <w:r w:rsidRPr="007E2DD5">
        <w:t xml:space="preserve">. С этой даты можно применять только новый формат, который обновили до </w:t>
      </w:r>
      <w:hyperlink r:id="rId16" w:history="1">
        <w:r w:rsidRPr="007E2DD5">
          <w:t>версии 5.03</w:t>
        </w:r>
      </w:hyperlink>
      <w:r w:rsidRPr="007E2DD5">
        <w:t xml:space="preserve">. Уже принятые налоговиками доверенности в форматах 5.01 и 5.02 </w:t>
      </w:r>
      <w:hyperlink r:id="rId17" w:history="1">
        <w:r w:rsidRPr="007E2DD5">
          <w:t>продолжают действовать</w:t>
        </w:r>
      </w:hyperlink>
      <w:r w:rsidRPr="007E2DD5">
        <w:t>. Изменение формата на их действие не влияет.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 w:rsidRPr="007E2DD5">
        <w:rPr>
          <w:rFonts w:ascii="Times New Roman" w:hAnsi="Times New Roman" w:cs="Times New Roman"/>
          <w:sz w:val="24"/>
          <w:szCs w:val="24"/>
        </w:rPr>
        <w:t>Формат счета-фактуры и УПД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hyperlink r:id="rId18" w:history="1">
        <w:r w:rsidRPr="007E2DD5">
          <w:t>31 марта</w:t>
        </w:r>
      </w:hyperlink>
      <w:r w:rsidRPr="007E2DD5">
        <w:t xml:space="preserve"> истекает срок, в течение которого можно было создавать документы с помощью старого и нового формата. С 1 апреля использовать формат </w:t>
      </w:r>
      <w:hyperlink r:id="rId19" w:history="1">
        <w:r w:rsidRPr="007E2DD5">
          <w:t>версии 5.01</w:t>
        </w:r>
      </w:hyperlink>
      <w:r w:rsidRPr="007E2DD5">
        <w:t xml:space="preserve"> нельзя. С этой даты применяют только новый формат, который изменили до </w:t>
      </w:r>
      <w:hyperlink r:id="rId20" w:history="1">
        <w:r w:rsidRPr="007E2DD5">
          <w:t>версии 5.03</w:t>
        </w:r>
      </w:hyperlink>
      <w:r w:rsidRPr="007E2DD5">
        <w:t xml:space="preserve">. В нем скорректировали ряд строк. Например, в </w:t>
      </w:r>
      <w:hyperlink r:id="rId21" w:history="1">
        <w:r w:rsidRPr="007E2DD5">
          <w:t>строку</w:t>
        </w:r>
      </w:hyperlink>
      <w:r w:rsidRPr="007E2DD5">
        <w:t xml:space="preserve"> "Налоговая ставка (</w:t>
      </w:r>
      <w:hyperlink r:id="rId22" w:history="1">
        <w:r w:rsidRPr="007E2DD5">
          <w:t>графа 7</w:t>
        </w:r>
      </w:hyperlink>
      <w:r w:rsidRPr="007E2DD5">
        <w:t xml:space="preserve"> счета-фактуры)" таблицы 5.13 </w:t>
      </w:r>
      <w:hyperlink r:id="rId23" w:history="1">
        <w:r w:rsidRPr="007E2DD5">
          <w:t>добавили</w:t>
        </w:r>
      </w:hyperlink>
      <w:r w:rsidRPr="007E2DD5">
        <w:t xml:space="preserve"> значения ставок НДС: 5%, 7%, 9,09%, 16,67%, 5/105, 7/107.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"/>
      <w:bookmarkEnd w:id="3"/>
      <w:r w:rsidRPr="007E2DD5">
        <w:rPr>
          <w:rFonts w:ascii="Times New Roman" w:hAnsi="Times New Roman" w:cs="Times New Roman"/>
          <w:sz w:val="24"/>
          <w:szCs w:val="24"/>
        </w:rPr>
        <w:t>Формат электронного счета на оплату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С 20 марта действует </w:t>
      </w:r>
      <w:hyperlink r:id="rId24" w:history="1">
        <w:r w:rsidRPr="007E2DD5">
          <w:t>формат</w:t>
        </w:r>
      </w:hyperlink>
      <w:r w:rsidRPr="007E2DD5">
        <w:t xml:space="preserve"> представления электронного счета на оплату. Документ описывает требования к XML-файлу передачи по ТКС такого счета.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0"/>
      <w:bookmarkEnd w:id="4"/>
    </w:p>
    <w:p w:rsid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DD5">
        <w:rPr>
          <w:rFonts w:ascii="Times New Roman" w:hAnsi="Times New Roman" w:cs="Times New Roman"/>
          <w:sz w:val="24"/>
          <w:szCs w:val="24"/>
        </w:rPr>
        <w:lastRenderedPageBreak/>
        <w:t>Выездные проверки ИТ-компаний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hyperlink r:id="rId25" w:history="1">
        <w:r w:rsidRPr="007E2DD5">
          <w:t>С 4 марта</w:t>
        </w:r>
      </w:hyperlink>
      <w:r w:rsidRPr="007E2DD5">
        <w:t xml:space="preserve"> перестает действовать приостановка выездных проверок ИТ-компаний. Это касается и повторных проверок. Мораторий вводили для компаний с аккредитацией. Он </w:t>
      </w:r>
      <w:hyperlink r:id="rId26" w:history="1">
        <w:r w:rsidRPr="007E2DD5">
          <w:t>не распространялся</w:t>
        </w:r>
      </w:hyperlink>
      <w:r w:rsidRPr="007E2DD5">
        <w:t xml:space="preserve"> на контрольные мероприятия, которые назначают с согласия руководства вышестоящего налогового органа или ФНС.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7E2DD5">
        <w:rPr>
          <w:rFonts w:ascii="Times New Roman" w:hAnsi="Times New Roman" w:cs="Times New Roman"/>
          <w:sz w:val="24"/>
          <w:szCs w:val="24"/>
        </w:rPr>
        <w:t>Регистрация и применение ККТ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>С 1 марта вступают в силу, в частности, такие изменения: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срок регистрации, перерегистрации и снятия с учета ККТ составляет </w:t>
      </w:r>
      <w:hyperlink r:id="rId27" w:history="1">
        <w:r w:rsidRPr="007E2DD5">
          <w:t>не 10, а 5</w:t>
        </w:r>
      </w:hyperlink>
      <w:r w:rsidRPr="007E2DD5">
        <w:t xml:space="preserve"> рабочих дней;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ККТ надо применять при расчетах </w:t>
      </w:r>
      <w:hyperlink r:id="rId28" w:history="1">
        <w:r w:rsidRPr="007E2DD5">
          <w:t>через СБП</w:t>
        </w:r>
      </w:hyperlink>
      <w:r w:rsidRPr="007E2DD5">
        <w:t>;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- ККТ </w:t>
      </w:r>
      <w:hyperlink r:id="rId29" w:history="1">
        <w:r w:rsidRPr="007E2DD5">
          <w:t>надо применять</w:t>
        </w:r>
      </w:hyperlink>
      <w:r w:rsidRPr="007E2DD5">
        <w:t xml:space="preserve"> по адресу и месту ее установки, которые указали при ее регистрации (перерегистрации).</w:t>
      </w:r>
    </w:p>
    <w:p w:rsidR="007E2DD5" w:rsidRPr="007E2DD5" w:rsidRDefault="007E2DD5" w:rsidP="007E2DD5">
      <w:pPr>
        <w:autoSpaceDE w:val="0"/>
        <w:autoSpaceDN w:val="0"/>
        <w:adjustRightInd w:val="0"/>
        <w:ind w:firstLine="540"/>
        <w:jc w:val="both"/>
      </w:pPr>
      <w:r w:rsidRPr="007E2DD5">
        <w:t xml:space="preserve">Подробнее об изменениях см. в </w:t>
      </w:r>
      <w:hyperlink r:id="rId30" w:history="1">
        <w:r w:rsidRPr="007E2DD5">
          <w:t>обзоре</w:t>
        </w:r>
      </w:hyperlink>
      <w:r w:rsidRPr="007E2DD5">
        <w:t>.</w:t>
      </w:r>
    </w:p>
    <w:p w:rsidR="007E2DD5" w:rsidRDefault="007E2DD5" w:rsidP="007E2DD5">
      <w:pPr>
        <w:autoSpaceDE w:val="0"/>
        <w:autoSpaceDN w:val="0"/>
        <w:adjustRightInd w:val="0"/>
        <w:jc w:val="both"/>
      </w:pPr>
    </w:p>
    <w:p w:rsidR="00445CB9" w:rsidRPr="00445CB9" w:rsidRDefault="00445CB9" w:rsidP="007E2DD5">
      <w:pPr>
        <w:autoSpaceDE w:val="0"/>
        <w:autoSpaceDN w:val="0"/>
        <w:adjustRightInd w:val="0"/>
        <w:ind w:firstLine="540"/>
        <w:jc w:val="both"/>
      </w:pPr>
    </w:p>
    <w:p w:rsidR="00445CB9" w:rsidRPr="007E2DD5" w:rsidRDefault="007E2DD5" w:rsidP="007E2DD5">
      <w:pPr>
        <w:jc w:val="both"/>
      </w:pPr>
      <w:r w:rsidRPr="007E2DD5">
        <w:t>Сс</w:t>
      </w:r>
      <w:r>
        <w:t xml:space="preserve">ылка на документ: </w:t>
      </w:r>
      <w:hyperlink r:id="rId31" w:tooltip="Ссылка на КонсультантПлюс" w:history="1">
        <w:r>
          <w:rPr>
            <w:rStyle w:val="a7"/>
            <w:i/>
            <w:iCs/>
          </w:rPr>
          <w:t>Обзор: "Налоги и отчетность в марте 2025 года: основные изменения"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  <w:bookmarkStart w:id="6" w:name="_GoBack"/>
      <w:bookmarkEnd w:id="6"/>
    </w:p>
    <w:sectPr w:rsidR="00445CB9" w:rsidRPr="007E2DD5" w:rsidSect="000E1C0B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2DD5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9505&amp;dst=100412" TargetMode="External"/><Relationship Id="rId18" Type="http://schemas.openxmlformats.org/officeDocument/2006/relationships/hyperlink" Target="https://login.consultant.ru/link/?req=doc&amp;base=LAW&amp;n=471831&amp;dst=100015" TargetMode="External"/><Relationship Id="rId26" Type="http://schemas.openxmlformats.org/officeDocument/2006/relationships/hyperlink" Target="https://login.consultant.ru/link/?req=doc&amp;base=LAW&amp;n=412885&amp;dst=1000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093&amp;dst=14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9505&amp;dst=100034" TargetMode="External"/><Relationship Id="rId17" Type="http://schemas.openxmlformats.org/officeDocument/2006/relationships/hyperlink" Target="https://login.consultant.ru/link/?req=doc&amp;base=LAW&amp;n=495747&amp;dst=100006" TargetMode="External"/><Relationship Id="rId25" Type="http://schemas.openxmlformats.org/officeDocument/2006/relationships/hyperlink" Target="https://login.consultant.ru/link/?req=doc&amp;base=LAW&amp;n=412885&amp;dst=10000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972&amp;dst=1" TargetMode="External"/><Relationship Id="rId20" Type="http://schemas.openxmlformats.org/officeDocument/2006/relationships/hyperlink" Target="https://login.consultant.ru/link/?req=doc&amp;base=LAW&amp;n=494027&amp;dst=100014" TargetMode="External"/><Relationship Id="rId29" Type="http://schemas.openxmlformats.org/officeDocument/2006/relationships/hyperlink" Target="https://login.consultant.ru/link/?req=doc&amp;base=LAW&amp;n=482522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505&amp;dst=100823" TargetMode="External"/><Relationship Id="rId24" Type="http://schemas.openxmlformats.org/officeDocument/2006/relationships/hyperlink" Target="https://login.consultant.ru/link/?req=doc&amp;base=LAW&amp;n=499133&amp;dst=10001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92698&amp;dst=100014" TargetMode="External"/><Relationship Id="rId23" Type="http://schemas.openxmlformats.org/officeDocument/2006/relationships/hyperlink" Target="https://login.consultant.ru/link/?req=doc&amp;base=LAW&amp;n=494027&amp;dst=100041" TargetMode="External"/><Relationship Id="rId28" Type="http://schemas.openxmlformats.org/officeDocument/2006/relationships/hyperlink" Target="https://login.consultant.ru/link/?req=doc&amp;base=LAW&amp;n=482522&amp;dst=100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505&amp;dst=100334" TargetMode="External"/><Relationship Id="rId19" Type="http://schemas.openxmlformats.org/officeDocument/2006/relationships/hyperlink" Target="https://login.consultant.ru/link/?req=doc&amp;base=LAW&amp;n=494093&amp;dst=102989" TargetMode="External"/><Relationship Id="rId31" Type="http://schemas.openxmlformats.org/officeDocument/2006/relationships/hyperlink" Target="https://login.consultant.ru/link/?req=doc&amp;base=LAW&amp;n=499326&amp;dst=100024,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9505&amp;dst=100023" TargetMode="External"/><Relationship Id="rId14" Type="http://schemas.openxmlformats.org/officeDocument/2006/relationships/hyperlink" Target="https://login.consultant.ru/link/?req=doc&amp;base=LAW&amp;n=464813&amp;dst=100008" TargetMode="External"/><Relationship Id="rId22" Type="http://schemas.openxmlformats.org/officeDocument/2006/relationships/hyperlink" Target="https://login.consultant.ru/link/?req=doc&amp;base=LAW&amp;n=489441&amp;dst=2598" TargetMode="External"/><Relationship Id="rId27" Type="http://schemas.openxmlformats.org/officeDocument/2006/relationships/hyperlink" Target="https://login.consultant.ru/link/?req=doc&amp;base=LAW&amp;n=482522&amp;dst=100104" TargetMode="External"/><Relationship Id="rId30" Type="http://schemas.openxmlformats.org/officeDocument/2006/relationships/hyperlink" Target="https://login.consultant.ru/link/?req=doc&amp;base=LAW&amp;n=498440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59B3-9197-42A9-9A58-7DD79AA5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4528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4927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2025-02-28T11:22:00Z</dcterms:created>
  <dcterms:modified xsi:type="dcterms:W3CDTF">2025-02-28T11:22:00Z</dcterms:modified>
</cp:coreProperties>
</file>