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06266D" w:rsidRDefault="00A5035B" w:rsidP="0006266D">
      <w:pPr>
        <w:shd w:val="clear" w:color="auto" w:fill="FABF8F"/>
        <w:jc w:val="both"/>
      </w:pPr>
      <w:r w:rsidRPr="0006266D">
        <w:rPr>
          <w:b/>
        </w:rPr>
        <w:t>Кому:</w:t>
      </w:r>
      <w:r w:rsidRPr="0006266D">
        <w:t xml:space="preserve"> </w:t>
      </w:r>
      <w:r w:rsidR="0006266D" w:rsidRPr="0006266D">
        <w:t>Специалисту по кадрам</w:t>
      </w:r>
    </w:p>
    <w:p w:rsidR="00445CB9" w:rsidRPr="0006266D" w:rsidRDefault="00445CB9" w:rsidP="0006266D">
      <w:pPr>
        <w:autoSpaceDE w:val="0"/>
        <w:autoSpaceDN w:val="0"/>
        <w:adjustRightInd w:val="0"/>
        <w:ind w:firstLine="540"/>
        <w:jc w:val="both"/>
      </w:pPr>
    </w:p>
    <w:p w:rsidR="00445CB9" w:rsidRPr="0006266D" w:rsidRDefault="0006266D" w:rsidP="000626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hyperlink r:id="rId9" w:history="1">
        <w:r w:rsidRPr="0006266D">
          <w:rPr>
            <w:rStyle w:val="a7"/>
            <w:b/>
            <w:sz w:val="28"/>
            <w:szCs w:val="28"/>
            <w:shd w:val="clear" w:color="auto" w:fill="FFFFFF"/>
          </w:rPr>
          <w:t>Топ-3 "поворотных" дел кассации по трудовым спорам за ноябрь – декабрь 2024 года</w:t>
        </w:r>
      </w:hyperlink>
    </w:p>
    <w:p w:rsidR="0006266D" w:rsidRPr="0006266D" w:rsidRDefault="0006266D" w:rsidP="0006266D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6266D" w:rsidRPr="0006266D" w:rsidRDefault="0006266D" w:rsidP="0006266D">
      <w:pPr>
        <w:shd w:val="clear" w:color="auto" w:fill="FFFFFF"/>
        <w:jc w:val="both"/>
        <w:textAlignment w:val="top"/>
        <w:rPr>
          <w:b/>
          <w:bCs/>
          <w:color w:val="000000"/>
          <w:sz w:val="25"/>
          <w:szCs w:val="25"/>
        </w:rPr>
      </w:pPr>
      <w:r w:rsidRPr="0006266D">
        <w:rPr>
          <w:b/>
          <w:bCs/>
          <w:color w:val="000000"/>
          <w:sz w:val="25"/>
          <w:szCs w:val="25"/>
        </w:rPr>
        <w:t xml:space="preserve">За ноябрь и декабрь в системе </w:t>
      </w:r>
      <w:proofErr w:type="spellStart"/>
      <w:r w:rsidRPr="0006266D">
        <w:rPr>
          <w:b/>
          <w:bCs/>
          <w:color w:val="000000"/>
          <w:sz w:val="25"/>
          <w:szCs w:val="25"/>
        </w:rPr>
        <w:t>КонсультантПлюс</w:t>
      </w:r>
      <w:proofErr w:type="spellEnd"/>
      <w:r w:rsidRPr="0006266D">
        <w:rPr>
          <w:b/>
          <w:bCs/>
          <w:color w:val="000000"/>
          <w:sz w:val="25"/>
          <w:szCs w:val="25"/>
        </w:rPr>
        <w:t xml:space="preserve"> появилось более 900 новых определений КСОЮ по трудовым спорам. Мы отобрали интересные дела, в которых кассация не согласилась с нижестоящими судами. Расскажем о дополнительном отпуске, замене основания увольнения, прогуле в день несогласованного отдыха.</w:t>
      </w:r>
    </w:p>
    <w:p w:rsidR="0006266D" w:rsidRPr="0006266D" w:rsidRDefault="0006266D" w:rsidP="0006266D">
      <w:pPr>
        <w:shd w:val="clear" w:color="auto" w:fill="FFFFFF"/>
        <w:jc w:val="both"/>
        <w:textAlignment w:val="top"/>
        <w:rPr>
          <w:b/>
          <w:bCs/>
          <w:color w:val="000000"/>
          <w:sz w:val="25"/>
          <w:szCs w:val="25"/>
        </w:rPr>
      </w:pPr>
    </w:p>
    <w:p w:rsidR="0006266D" w:rsidRDefault="0006266D" w:rsidP="0006266D">
      <w:pPr>
        <w:pStyle w:val="2"/>
        <w:shd w:val="clear" w:color="auto" w:fill="FFFFFF"/>
        <w:spacing w:before="0" w:after="0"/>
        <w:jc w:val="both"/>
        <w:textAlignment w:val="baseline"/>
        <w:rPr>
          <w:rStyle w:val="a9"/>
          <w:rFonts w:ascii="Times New Roman" w:hAnsi="Times New Roman"/>
          <w:b/>
          <w:bCs w:val="0"/>
          <w:i w:val="0"/>
          <w:color w:val="0E0E0E"/>
          <w:sz w:val="25"/>
          <w:szCs w:val="25"/>
          <w:bdr w:val="none" w:sz="0" w:space="0" w:color="auto" w:frame="1"/>
        </w:rPr>
      </w:pPr>
      <w:r w:rsidRPr="0006266D">
        <w:rPr>
          <w:rStyle w:val="a9"/>
          <w:rFonts w:ascii="Times New Roman" w:hAnsi="Times New Roman"/>
          <w:b/>
          <w:bCs w:val="0"/>
          <w:i w:val="0"/>
          <w:color w:val="0E0E0E"/>
          <w:sz w:val="25"/>
          <w:szCs w:val="25"/>
          <w:bdr w:val="none" w:sz="0" w:space="0" w:color="auto" w:frame="1"/>
        </w:rPr>
        <w:t>Дополнительный отпуск короче, чем в графике</w:t>
      </w:r>
    </w:p>
    <w:p w:rsidR="0006266D" w:rsidRPr="0006266D" w:rsidRDefault="0006266D" w:rsidP="0006266D">
      <w:pPr>
        <w:rPr>
          <w:sz w:val="16"/>
          <w:szCs w:val="16"/>
        </w:rPr>
      </w:pPr>
    </w:p>
    <w:p w:rsidR="0006266D" w:rsidRPr="0006266D" w:rsidRDefault="0006266D" w:rsidP="0006266D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>В график отпусков внесли основной и дополнительные отпуска специалиста, в том числе 7 дней</w:t>
      </w:r>
      <w:r w:rsidRPr="0006266D">
        <w:rPr>
          <w:rStyle w:val="apple-converted-space"/>
          <w:color w:val="0E0E0E"/>
          <w:sz w:val="25"/>
          <w:szCs w:val="25"/>
        </w:rPr>
        <w:t> </w:t>
      </w:r>
      <w:r w:rsidRPr="0006266D">
        <w:rPr>
          <w:color w:val="0E0E0E"/>
          <w:sz w:val="25"/>
          <w:szCs w:val="25"/>
          <w:bdr w:val="none" w:sz="0" w:space="0" w:color="auto" w:frame="1"/>
        </w:rPr>
        <w:t>отдыха</w:t>
      </w:r>
      <w:r w:rsidRPr="0006266D">
        <w:rPr>
          <w:rStyle w:val="apple-converted-space"/>
          <w:color w:val="0E0E0E"/>
          <w:sz w:val="25"/>
          <w:szCs w:val="25"/>
        </w:rPr>
        <w:t> </w:t>
      </w:r>
      <w:r w:rsidRPr="0006266D">
        <w:rPr>
          <w:color w:val="0E0E0E"/>
          <w:sz w:val="25"/>
          <w:szCs w:val="25"/>
        </w:rPr>
        <w:t>за работу во вредных условиях труда. К началу отпуска</w:t>
      </w:r>
      <w:r w:rsidRPr="0006266D">
        <w:rPr>
          <w:rStyle w:val="apple-converted-space"/>
          <w:color w:val="0E0E0E"/>
          <w:sz w:val="25"/>
          <w:szCs w:val="25"/>
        </w:rPr>
        <w:t> </w:t>
      </w:r>
      <w:r w:rsidRPr="0006266D">
        <w:rPr>
          <w:color w:val="0E0E0E"/>
          <w:sz w:val="25"/>
          <w:szCs w:val="25"/>
          <w:bdr w:val="none" w:sz="0" w:space="0" w:color="auto" w:frame="1"/>
        </w:rPr>
        <w:t>подсчитали</w:t>
      </w:r>
      <w:r w:rsidRPr="0006266D">
        <w:rPr>
          <w:rStyle w:val="apple-converted-space"/>
          <w:color w:val="0E0E0E"/>
          <w:sz w:val="25"/>
          <w:szCs w:val="25"/>
        </w:rPr>
        <w:t> </w:t>
      </w:r>
      <w:r w:rsidRPr="0006266D">
        <w:rPr>
          <w:color w:val="0E0E0E"/>
          <w:sz w:val="25"/>
          <w:szCs w:val="25"/>
        </w:rPr>
        <w:t>фактическое время исполнения обязанностей в таких условиях и вместо 7 дней дали только 4.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>Сотрудник не вернулся из отпуска вовремя, считая, что по графику ему положено больше свободных дней. Ему объявили выговор за прогул. Спор дошел до суда.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>Две инстанции решили, что уменьшение отпуска и взыскание незаконны. Кассация с ними не согласилась и направила дело на новое рассмотрение.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 xml:space="preserve">Подробнее о мнениях судов и позиции кассации читайте в </w:t>
      </w:r>
      <w:hyperlink r:id="rId10" w:history="1">
        <w:r w:rsidRPr="0006266D">
          <w:rPr>
            <w:rStyle w:val="a7"/>
            <w:sz w:val="25"/>
            <w:szCs w:val="25"/>
          </w:rPr>
          <w:t>обзоре</w:t>
        </w:r>
      </w:hyperlink>
      <w:r w:rsidRPr="0006266D">
        <w:rPr>
          <w:color w:val="0E0E0E"/>
          <w:sz w:val="25"/>
          <w:szCs w:val="25"/>
        </w:rPr>
        <w:t>.</w:t>
      </w:r>
    </w:p>
    <w:p w:rsidR="0006266D" w:rsidRPr="0006266D" w:rsidRDefault="0006266D" w:rsidP="0006266D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i w:val="0"/>
          <w:color w:val="0E0E0E"/>
          <w:sz w:val="25"/>
          <w:szCs w:val="25"/>
        </w:rPr>
      </w:pPr>
      <w:r w:rsidRPr="0006266D">
        <w:rPr>
          <w:rStyle w:val="a9"/>
          <w:rFonts w:ascii="Times New Roman" w:hAnsi="Times New Roman"/>
          <w:b/>
          <w:bCs w:val="0"/>
          <w:i w:val="0"/>
          <w:color w:val="0E0E0E"/>
          <w:sz w:val="25"/>
          <w:szCs w:val="25"/>
          <w:bdr w:val="none" w:sz="0" w:space="0" w:color="auto" w:frame="1"/>
        </w:rPr>
        <w:t>Смена причины увольнения с прогула на сокращение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>День предстоящего сокращения выпал на период нетрудоспособности. После закрытия больничного сотрудник ожидал получить расчет и документы об увольнении. Однако организация не выдала их его представителю, а затем расторгла договор с работником за прогулы.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>Суды согласились изменить формулировку основания увольнения на сокращение штата. Кассация не поддержала их выводы и направила дело на пересмотр в апелляцию.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 xml:space="preserve">Подробнее о мнениях судов и позиции кассации читайте в </w:t>
      </w:r>
      <w:hyperlink r:id="rId11" w:history="1">
        <w:r w:rsidRPr="0006266D">
          <w:rPr>
            <w:rStyle w:val="a7"/>
            <w:sz w:val="25"/>
            <w:szCs w:val="25"/>
          </w:rPr>
          <w:t>обзоре</w:t>
        </w:r>
      </w:hyperlink>
      <w:r w:rsidRPr="0006266D">
        <w:rPr>
          <w:color w:val="0E0E0E"/>
          <w:sz w:val="25"/>
          <w:szCs w:val="25"/>
        </w:rPr>
        <w:t>.</w:t>
      </w:r>
    </w:p>
    <w:p w:rsidR="0006266D" w:rsidRPr="0006266D" w:rsidRDefault="0006266D" w:rsidP="0006266D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i w:val="0"/>
          <w:color w:val="0E0E0E"/>
          <w:sz w:val="25"/>
          <w:szCs w:val="25"/>
        </w:rPr>
      </w:pPr>
      <w:r w:rsidRPr="0006266D">
        <w:rPr>
          <w:rStyle w:val="a9"/>
          <w:rFonts w:ascii="Times New Roman" w:hAnsi="Times New Roman"/>
          <w:b/>
          <w:bCs w:val="0"/>
          <w:i w:val="0"/>
          <w:color w:val="0E0E0E"/>
          <w:sz w:val="25"/>
          <w:szCs w:val="25"/>
          <w:bdr w:val="none" w:sz="0" w:space="0" w:color="auto" w:frame="1"/>
        </w:rPr>
        <w:t>Несогласованный отпуск за свой счет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>Сотрудник предупредил непосредственного руководителя, что планирует ехать с сыном в медучреждение, поэтому ему нужен день отпуска за свой счет. Утром того дня он передал заявление и отправился в поездку. Однако вместо отдыха работодатель оформил прогул и уволил специалиста.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>Суды признали действия организации законными. Кассация заняла иную позицию и назначила новое рассмотрение в апелляции.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r w:rsidRPr="0006266D">
        <w:rPr>
          <w:color w:val="0E0E0E"/>
          <w:sz w:val="25"/>
          <w:szCs w:val="25"/>
        </w:rPr>
        <w:t xml:space="preserve">Подробнее о мнениях судов и позиции кассации читайте в </w:t>
      </w:r>
      <w:hyperlink r:id="rId12" w:history="1">
        <w:r w:rsidRPr="0006266D">
          <w:rPr>
            <w:rStyle w:val="a7"/>
            <w:sz w:val="25"/>
            <w:szCs w:val="25"/>
          </w:rPr>
          <w:t>обзоре</w:t>
        </w:r>
      </w:hyperlink>
      <w:r w:rsidRPr="0006266D">
        <w:rPr>
          <w:color w:val="0E0E0E"/>
          <w:sz w:val="25"/>
          <w:szCs w:val="25"/>
        </w:rPr>
        <w:t>.</w:t>
      </w:r>
    </w:p>
    <w:p w:rsidR="0006266D" w:rsidRPr="0006266D" w:rsidRDefault="0006266D" w:rsidP="0006266D">
      <w:pPr>
        <w:pStyle w:val="a8"/>
        <w:shd w:val="clear" w:color="auto" w:fill="FFFFFF"/>
        <w:jc w:val="both"/>
        <w:textAlignment w:val="baseline"/>
        <w:rPr>
          <w:color w:val="0E0E0E"/>
          <w:sz w:val="25"/>
          <w:szCs w:val="25"/>
        </w:rPr>
      </w:pPr>
      <w:bookmarkStart w:id="0" w:name="_GoBack"/>
      <w:bookmarkEnd w:id="0"/>
    </w:p>
    <w:p w:rsidR="00445CB9" w:rsidRPr="0006266D" w:rsidRDefault="0006266D" w:rsidP="0006266D">
      <w:pPr>
        <w:pStyle w:val="a8"/>
        <w:shd w:val="clear" w:color="auto" w:fill="FFFFFF"/>
        <w:jc w:val="both"/>
        <w:textAlignment w:val="baseline"/>
        <w:rPr>
          <w:b/>
        </w:rPr>
      </w:pPr>
      <w:r w:rsidRPr="0006266D">
        <w:rPr>
          <w:color w:val="0E0E0E"/>
          <w:sz w:val="25"/>
          <w:szCs w:val="25"/>
        </w:rPr>
        <w:t xml:space="preserve">Ссылка на материал: </w:t>
      </w:r>
      <w:hyperlink r:id="rId13" w:history="1">
        <w:r w:rsidRPr="0006266D">
          <w:rPr>
            <w:rStyle w:val="a7"/>
            <w:sz w:val="25"/>
            <w:szCs w:val="25"/>
            <w:shd w:val="clear" w:color="auto" w:fill="FFFFFF"/>
          </w:rPr>
          <w:t>Топ-3 "поворотных" дел кассации по трудовым спорам за ноябрь – декабрь 2024 года</w:t>
        </w:r>
      </w:hyperlink>
    </w:p>
    <w:sectPr w:rsidR="00445CB9" w:rsidRPr="0006266D" w:rsidSect="000E1C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7213FB"/>
    <w:multiLevelType w:val="multilevel"/>
    <w:tmpl w:val="880E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1E079B"/>
    <w:multiLevelType w:val="multilevel"/>
    <w:tmpl w:val="019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44A86"/>
    <w:multiLevelType w:val="multilevel"/>
    <w:tmpl w:val="824A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816A3"/>
    <w:multiLevelType w:val="multilevel"/>
    <w:tmpl w:val="6592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8">
    <w:nsid w:val="51E80944"/>
    <w:multiLevelType w:val="multilevel"/>
    <w:tmpl w:val="447C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54652"/>
    <w:multiLevelType w:val="multilevel"/>
    <w:tmpl w:val="109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</w:num>
  <w:num w:numId="3">
    <w:abstractNumId w:val="0"/>
  </w:num>
  <w:num w:numId="4">
    <w:abstractNumId w:val="14"/>
  </w:num>
  <w:num w:numId="5">
    <w:abstractNumId w:val="38"/>
  </w:num>
  <w:num w:numId="6">
    <w:abstractNumId w:val="1"/>
  </w:num>
  <w:num w:numId="7">
    <w:abstractNumId w:val="24"/>
  </w:num>
  <w:num w:numId="8">
    <w:abstractNumId w:val="27"/>
  </w:num>
  <w:num w:numId="9">
    <w:abstractNumId w:val="2"/>
  </w:num>
  <w:num w:numId="10">
    <w:abstractNumId w:val="3"/>
  </w:num>
  <w:num w:numId="11">
    <w:abstractNumId w:val="17"/>
  </w:num>
  <w:num w:numId="12">
    <w:abstractNumId w:val="4"/>
  </w:num>
  <w:num w:numId="13">
    <w:abstractNumId w:val="37"/>
  </w:num>
  <w:num w:numId="14">
    <w:abstractNumId w:val="21"/>
  </w:num>
  <w:num w:numId="15">
    <w:abstractNumId w:val="31"/>
  </w:num>
  <w:num w:numId="16">
    <w:abstractNumId w:val="34"/>
  </w:num>
  <w:num w:numId="17">
    <w:abstractNumId w:val="6"/>
  </w:num>
  <w:num w:numId="18">
    <w:abstractNumId w:val="12"/>
  </w:num>
  <w:num w:numId="19">
    <w:abstractNumId w:val="13"/>
  </w:num>
  <w:num w:numId="20">
    <w:abstractNumId w:val="22"/>
  </w:num>
  <w:num w:numId="21">
    <w:abstractNumId w:val="15"/>
  </w:num>
  <w:num w:numId="22">
    <w:abstractNumId w:val="33"/>
  </w:num>
  <w:num w:numId="23">
    <w:abstractNumId w:val="18"/>
  </w:num>
  <w:num w:numId="24">
    <w:abstractNumId w:val="16"/>
  </w:num>
  <w:num w:numId="25">
    <w:abstractNumId w:val="20"/>
  </w:num>
  <w:num w:numId="26">
    <w:abstractNumId w:val="9"/>
  </w:num>
  <w:num w:numId="27">
    <w:abstractNumId w:val="23"/>
  </w:num>
  <w:num w:numId="28">
    <w:abstractNumId w:val="35"/>
  </w:num>
  <w:num w:numId="29">
    <w:abstractNumId w:val="36"/>
  </w:num>
  <w:num w:numId="30">
    <w:abstractNumId w:val="19"/>
  </w:num>
  <w:num w:numId="31">
    <w:abstractNumId w:val="32"/>
  </w:num>
  <w:num w:numId="32">
    <w:abstractNumId w:val="29"/>
  </w:num>
  <w:num w:numId="33">
    <w:abstractNumId w:val="10"/>
  </w:num>
  <w:num w:numId="34">
    <w:abstractNumId w:val="7"/>
  </w:num>
  <w:num w:numId="35">
    <w:abstractNumId w:val="30"/>
  </w:num>
  <w:num w:numId="36">
    <w:abstractNumId w:val="11"/>
  </w:num>
  <w:num w:numId="37">
    <w:abstractNumId w:val="28"/>
  </w:num>
  <w:num w:numId="38">
    <w:abstractNumId w:val="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266D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opennews&amp;id=276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opennews&amp;id=2764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opennews&amp;id=2764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opennews&amp;id=276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opennews&amp;id=2764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0E16-1602-4C9C-BCEB-DFDB6245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2543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2025-02-14T09:33:00Z</dcterms:created>
  <dcterms:modified xsi:type="dcterms:W3CDTF">2025-02-14T09:33:00Z</dcterms:modified>
</cp:coreProperties>
</file>