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D24BCD" w:rsidRDefault="00A5035B" w:rsidP="00A5035B">
      <w:pPr>
        <w:shd w:val="clear" w:color="auto" w:fill="FABF8F"/>
        <w:jc w:val="both"/>
        <w:rPr>
          <w:i/>
          <w:sz w:val="28"/>
          <w:szCs w:val="28"/>
        </w:rPr>
      </w:pPr>
      <w:r w:rsidRPr="00D24BCD">
        <w:rPr>
          <w:b/>
          <w:sz w:val="28"/>
          <w:szCs w:val="28"/>
        </w:rPr>
        <w:t>Кому:</w:t>
      </w:r>
      <w:r w:rsidRPr="00D24BCD">
        <w:rPr>
          <w:sz w:val="28"/>
          <w:szCs w:val="28"/>
        </w:rPr>
        <w:t xml:space="preserve"> </w:t>
      </w:r>
      <w:r w:rsidR="00D24BCD">
        <w:rPr>
          <w:sz w:val="28"/>
          <w:szCs w:val="28"/>
        </w:rPr>
        <w:t>Бухгалтеру коммерческому и бюджетной сферы</w:t>
      </w:r>
    </w:p>
    <w:p w:rsidR="00FD248B" w:rsidRPr="00D24BCD" w:rsidRDefault="00FD248B" w:rsidP="00DF5B03">
      <w:pPr>
        <w:rPr>
          <w:noProof/>
          <w:sz w:val="28"/>
          <w:szCs w:val="28"/>
        </w:rPr>
      </w:pPr>
    </w:p>
    <w:p w:rsidR="00D24BCD" w:rsidRPr="00D24BCD" w:rsidRDefault="00D24BCD" w:rsidP="00D24BCD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</w:rPr>
      </w:pPr>
      <w:r w:rsidRPr="00D24BCD">
        <w:rPr>
          <w:rFonts w:ascii="Times New Roman" w:hAnsi="Times New Roman" w:cs="Times New Roman"/>
        </w:rPr>
        <w:t>НАЛОГИ, ВЗНОСЫ И ОТЧЕТНОСТЬ В ФЕВРАЛЕ 2025 ГОДА:</w:t>
      </w:r>
    </w:p>
    <w:p w:rsidR="00D24BCD" w:rsidRPr="00D24BCD" w:rsidRDefault="00D24BCD" w:rsidP="00D24BCD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</w:rPr>
      </w:pPr>
      <w:r w:rsidRPr="00D24BCD">
        <w:rPr>
          <w:rFonts w:ascii="Times New Roman" w:hAnsi="Times New Roman" w:cs="Times New Roman"/>
        </w:rPr>
        <w:t>ОСНОВНЫЕ ИЗМЕНЕНИЯ</w:t>
      </w:r>
    </w:p>
    <w:p w:rsidR="00D24BCD" w:rsidRPr="00D24BCD" w:rsidRDefault="00D24BCD" w:rsidP="00D24B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4BCD" w:rsidRPr="00D24BCD" w:rsidRDefault="00D24BCD" w:rsidP="00D24BCD">
      <w:pPr>
        <w:autoSpaceDE w:val="0"/>
        <w:autoSpaceDN w:val="0"/>
        <w:adjustRightInd w:val="0"/>
        <w:ind w:firstLine="540"/>
        <w:jc w:val="both"/>
      </w:pPr>
      <w:r w:rsidRPr="00D24BCD">
        <w:t>С 5 февраля не направляйте в ИФНС квитанцию о приеме документов по ТКС. Декларации по налогу на имущество за 2024 год, по налогу на прибыль и акцизам за январь 2025 года сдайте по обновленным формам. Сообщите о неудержанном НДФЛ, если не удержали его до 31 января. Об этих и других новшествах - в обзоре.</w:t>
      </w:r>
    </w:p>
    <w:p w:rsidR="00D24BCD" w:rsidRPr="00D24BCD" w:rsidRDefault="00D24BCD" w:rsidP="00D24BCD">
      <w:pPr>
        <w:autoSpaceDE w:val="0"/>
        <w:autoSpaceDN w:val="0"/>
        <w:adjustRightInd w:val="0"/>
        <w:ind w:firstLine="540"/>
        <w:jc w:val="both"/>
      </w:pPr>
    </w:p>
    <w:p w:rsidR="00D24BCD" w:rsidRPr="00D24BCD" w:rsidRDefault="00D24BCD" w:rsidP="00D24BCD">
      <w:pPr>
        <w:autoSpaceDE w:val="0"/>
        <w:autoSpaceDN w:val="0"/>
        <w:adjustRightInd w:val="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Получение электронных документов и блокировка операций по счетам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Справка о сальдо ЕНС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Декларация по налогу на имущество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Страховые взносы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Декларация по налогу на прибыль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Ставка по налогу на прибыль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Федеральный инвестиционный вычет по налогу на прибыль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Декларация по акцизам на алкоголь и сладкие напитки</w:t>
      </w:r>
    </w:p>
    <w:p w:rsidR="00D24BCD" w:rsidRPr="00D24BCD" w:rsidRDefault="00D24BCD" w:rsidP="00D24BCD">
      <w:pPr>
        <w:autoSpaceDE w:val="0"/>
        <w:autoSpaceDN w:val="0"/>
        <w:adjustRightInd w:val="0"/>
        <w:spacing w:before="200"/>
        <w:ind w:firstLine="540"/>
        <w:jc w:val="both"/>
      </w:pPr>
      <w:r w:rsidRPr="00D24BCD">
        <w:t xml:space="preserve">- </w:t>
      </w:r>
      <w:r w:rsidRPr="00D24BCD">
        <w:rPr>
          <w:color w:val="0000FF"/>
        </w:rPr>
        <w:t>Сообщение о неудержанном НДФЛ</w:t>
      </w:r>
    </w:p>
    <w:p w:rsidR="00D24BCD" w:rsidRPr="00D24BCD" w:rsidRDefault="00D24BCD" w:rsidP="00D24BCD">
      <w:pPr>
        <w:autoSpaceDE w:val="0"/>
        <w:autoSpaceDN w:val="0"/>
        <w:adjustRightInd w:val="0"/>
        <w:ind w:firstLine="540"/>
        <w:jc w:val="both"/>
      </w:pPr>
    </w:p>
    <w:p w:rsidR="008C7D39" w:rsidRPr="00D24BCD" w:rsidRDefault="00D24BCD" w:rsidP="00DF5B03">
      <w:pPr>
        <w:rPr>
          <w:noProof/>
        </w:rPr>
      </w:pPr>
      <w:bookmarkStart w:id="0" w:name="Par15"/>
      <w:bookmarkEnd w:id="0"/>
      <w:r w:rsidRPr="00D24BCD">
        <w:rPr>
          <w:noProof/>
        </w:rPr>
        <w:t xml:space="preserve">Ссылка на документ: </w:t>
      </w:r>
      <w:hyperlink r:id="rId9" w:tooltip="Ссылка на КонсультантПлюс" w:history="1">
        <w:r w:rsidRPr="00D24BCD">
          <w:rPr>
            <w:rStyle w:val="a7"/>
            <w:i/>
            <w:iCs/>
          </w:rPr>
          <w:t>Обзор: "Налоги, взносы и отчетность в феврале 2025 года: основные изменения" (</w:t>
        </w:r>
        <w:proofErr w:type="spellStart"/>
        <w:r w:rsidRPr="00D24BCD">
          <w:rPr>
            <w:rStyle w:val="a7"/>
            <w:i/>
            <w:iCs/>
          </w:rPr>
          <w:t>КонсультантПлюс</w:t>
        </w:r>
        <w:proofErr w:type="spellEnd"/>
        <w:r w:rsidRPr="00D24BCD">
          <w:rPr>
            <w:rStyle w:val="a7"/>
            <w:i/>
            <w:iCs/>
          </w:rPr>
          <w:t>, 2025) {</w:t>
        </w:r>
        <w:proofErr w:type="spellStart"/>
        <w:r w:rsidRPr="00D24BCD">
          <w:rPr>
            <w:rStyle w:val="a7"/>
            <w:i/>
            <w:iCs/>
          </w:rPr>
          <w:t>КонсультантПлюс</w:t>
        </w:r>
        <w:proofErr w:type="spellEnd"/>
        <w:r w:rsidRPr="00D24BCD">
          <w:rPr>
            <w:rStyle w:val="a7"/>
            <w:i/>
            <w:iCs/>
          </w:rPr>
          <w:t>}</w:t>
        </w:r>
      </w:hyperlink>
    </w:p>
    <w:p w:rsidR="008C7D39" w:rsidRPr="00D24BCD" w:rsidRDefault="008C7D39" w:rsidP="00DF5B03">
      <w:pPr>
        <w:rPr>
          <w:noProof/>
        </w:rPr>
      </w:pPr>
    </w:p>
    <w:p w:rsidR="008C7D39" w:rsidRPr="00D24BCD" w:rsidRDefault="008C7D39" w:rsidP="008C7D39"/>
    <w:p w:rsidR="008C7D39" w:rsidRPr="00D24BCD" w:rsidRDefault="008C7D39" w:rsidP="008C7D39">
      <w:pPr>
        <w:ind w:firstLine="708"/>
        <w:rPr>
          <w:b/>
        </w:rPr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7B75" wp14:editId="0CD42521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D24BCD">
        <w:rPr>
          <w:b/>
        </w:rPr>
        <w:t>Рекомендации:</w:t>
      </w:r>
    </w:p>
    <w:p w:rsidR="00D24BCD" w:rsidRPr="00D24BCD" w:rsidRDefault="00D24BCD" w:rsidP="00D24BCD">
      <w:pPr>
        <w:rPr>
          <w:b/>
        </w:rPr>
      </w:pPr>
    </w:p>
    <w:p w:rsidR="00D24BCD" w:rsidRPr="00D24BCD" w:rsidRDefault="00D24BCD" w:rsidP="00D24BCD">
      <w:pPr>
        <w:pStyle w:val="a8"/>
        <w:spacing w:before="0" w:after="0"/>
        <w:jc w:val="both"/>
      </w:pPr>
      <w:r w:rsidRPr="00D24BCD">
        <w:t xml:space="preserve">О наиболее важных изменениях законодательства можно прочитать в специальных обзорах </w:t>
      </w:r>
      <w:proofErr w:type="spellStart"/>
      <w:r w:rsidRPr="00D24BCD">
        <w:t>КонсультантПлюс</w:t>
      </w:r>
      <w:proofErr w:type="spellEnd"/>
      <w:r w:rsidRPr="00D24BCD">
        <w:t>. Их можно найти в рубрике «</w:t>
      </w:r>
      <w:r w:rsidRPr="00D24BCD">
        <w:rPr>
          <w:b/>
        </w:rPr>
        <w:t>Актуальные темы</w:t>
      </w:r>
      <w:r w:rsidRPr="00D24BCD">
        <w:t>».</w:t>
      </w:r>
    </w:p>
    <w:p w:rsidR="00D24BCD" w:rsidRPr="00D24BCD" w:rsidRDefault="00D24BCD" w:rsidP="00D24BCD"/>
    <w:p w:rsidR="00D24BCD" w:rsidRPr="00D24BCD" w:rsidRDefault="00D24BCD" w:rsidP="00D24BCD">
      <w:pPr>
        <w:autoSpaceDE w:val="0"/>
        <w:autoSpaceDN w:val="0"/>
        <w:adjustRightInd w:val="0"/>
        <w:jc w:val="both"/>
      </w:pPr>
      <w:r w:rsidRPr="00D24BCD">
        <w:t>Откроем вкладку Обзоры.</w:t>
      </w:r>
    </w:p>
    <w:p w:rsidR="00D24BCD" w:rsidRPr="00D24BCD" w:rsidRDefault="00D24BCD" w:rsidP="00D24BCD">
      <w:pPr>
        <w:autoSpaceDE w:val="0"/>
        <w:autoSpaceDN w:val="0"/>
        <w:adjustRightInd w:val="0"/>
        <w:jc w:val="both"/>
        <w:rPr>
          <w:lang w:val="en-US"/>
        </w:rPr>
      </w:pPr>
    </w:p>
    <w:p w:rsidR="00D24BCD" w:rsidRPr="00D24BCD" w:rsidRDefault="00D24BCD" w:rsidP="00D24BCD">
      <w:pPr>
        <w:autoSpaceDE w:val="0"/>
        <w:autoSpaceDN w:val="0"/>
        <w:adjustRightInd w:val="0"/>
        <w:jc w:val="both"/>
      </w:pPr>
      <w:r w:rsidRPr="00D24BCD">
        <w:rPr>
          <w:noProof/>
        </w:rPr>
        <w:drawing>
          <wp:inline distT="0" distB="0" distL="0" distR="0" wp14:anchorId="41A10C93" wp14:editId="5A6C35F9">
            <wp:extent cx="628650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CD" w:rsidRPr="00D24BCD" w:rsidRDefault="00D24BCD" w:rsidP="00D24BCD">
      <w:pPr>
        <w:autoSpaceDE w:val="0"/>
        <w:autoSpaceDN w:val="0"/>
        <w:adjustRightInd w:val="0"/>
        <w:jc w:val="both"/>
      </w:pPr>
    </w:p>
    <w:p w:rsidR="00D24BCD" w:rsidRDefault="00D24BCD" w:rsidP="00D24BCD"/>
    <w:p w:rsidR="00D24BCD" w:rsidRDefault="00D24BCD" w:rsidP="00D24BCD"/>
    <w:p w:rsidR="00D24BCD" w:rsidRPr="00D24BCD" w:rsidRDefault="00D24BCD" w:rsidP="00D24BCD">
      <w:r w:rsidRPr="00D24BCD">
        <w:lastRenderedPageBreak/>
        <w:t>Перейдем в «Актуальные темы»</w:t>
      </w:r>
    </w:p>
    <w:p w:rsidR="00D24BCD" w:rsidRPr="00D24BCD" w:rsidRDefault="00D24BCD" w:rsidP="00D24BCD"/>
    <w:p w:rsidR="00D24BCD" w:rsidRPr="00D24BCD" w:rsidRDefault="00D24BCD" w:rsidP="00D24BCD"/>
    <w:p w:rsidR="00D24BCD" w:rsidRPr="00D24BCD" w:rsidRDefault="00D24BCD" w:rsidP="00D24BCD">
      <w:r w:rsidRPr="00D24BCD">
        <w:rPr>
          <w:noProof/>
        </w:rPr>
        <w:drawing>
          <wp:inline distT="0" distB="0" distL="0" distR="0" wp14:anchorId="045F71BE" wp14:editId="5C9B4928">
            <wp:extent cx="6286500" cy="8356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CD" w:rsidRPr="00D24BCD" w:rsidRDefault="00D24BCD" w:rsidP="00D24BCD"/>
    <w:p w:rsidR="00D24BCD" w:rsidRPr="00D24BCD" w:rsidRDefault="00D24BCD" w:rsidP="00D24BCD">
      <w:r w:rsidRPr="00D24BCD">
        <w:t>Перейдем в список Обзоров.</w:t>
      </w:r>
    </w:p>
    <w:p w:rsidR="00D24BCD" w:rsidRDefault="00D24BCD" w:rsidP="00D24BCD">
      <w:pPr>
        <w:rPr>
          <w:noProof/>
        </w:rPr>
      </w:pPr>
    </w:p>
    <w:p w:rsidR="00D24BCD" w:rsidRPr="00D24BCD" w:rsidRDefault="00D24BCD" w:rsidP="00D24BCD">
      <w:pPr>
        <w:rPr>
          <w:noProof/>
        </w:rPr>
      </w:pPr>
      <w:bookmarkStart w:id="1" w:name="_GoBack"/>
      <w:r>
        <w:rPr>
          <w:noProof/>
        </w:rPr>
        <w:drawing>
          <wp:inline distT="0" distB="0" distL="0" distR="0">
            <wp:extent cx="6286500" cy="19570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24BCD" w:rsidRPr="00D24BCD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D24BCD">
      <w:fldChar w:fldCharType="begin"/>
    </w:r>
    <w:r w:rsidR="00D24BCD" w:rsidRPr="00D24BCD">
      <w:rPr>
        <w:lang w:val="en-US"/>
      </w:rPr>
      <w:instrText xml:space="preserve"> HYPERLINK "http://www.cons66.ru" </w:instrText>
    </w:r>
    <w:r w:rsidR="00D24BCD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D24BCD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D24BCD">
      <w:fldChar w:fldCharType="begin"/>
    </w:r>
    <w:r w:rsidR="00D24BCD" w:rsidRPr="00D24BCD">
      <w:rPr>
        <w:lang w:val="en-US"/>
      </w:rPr>
      <w:instrText xml:space="preserve"> HYPERLINK "mailto:gl@cons66.ru" </w:instrText>
    </w:r>
    <w:r w:rsidR="00D24BCD">
      <w:fldChar w:fldCharType="separate"/>
    </w:r>
    <w:r w:rsidRPr="00F60D2F">
      <w:rPr>
        <w:rStyle w:val="a7"/>
        <w:b/>
        <w:sz w:val="18"/>
        <w:szCs w:val="18"/>
        <w:lang w:val="en-US"/>
      </w:rPr>
      <w:t>gl@cons66.ru</w:t>
    </w:r>
    <w:r w:rsidR="00D24BCD">
      <w:rPr>
        <w:rStyle w:val="a7"/>
        <w:b/>
        <w:sz w:val="18"/>
        <w:szCs w:val="18"/>
        <w:lang w:val="en-US"/>
      </w:rPr>
      <w:fldChar w:fldCharType="end"/>
    </w:r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D24BCD">
      <w:fldChar w:fldCharType="begin"/>
    </w:r>
    <w:r w:rsidR="00D24BCD" w:rsidRPr="00D24BCD">
      <w:rPr>
        <w:lang w:val="en-US"/>
      </w:rPr>
      <w:instrText xml:space="preserve"> HYPERLINK "http://www.cons66.ru" </w:instrText>
    </w:r>
    <w:r w:rsidR="00D24BCD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D24BCD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4BCD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6542&amp;dst=100057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96F4-2C74-43ED-AFBB-CFD86B90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1290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2025-01-30T11:33:00Z</dcterms:created>
  <dcterms:modified xsi:type="dcterms:W3CDTF">2025-01-30T11:33:00Z</dcterms:modified>
</cp:coreProperties>
</file>