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FD1B84" w:rsidRDefault="00A5035B" w:rsidP="00FD1B84">
      <w:pPr>
        <w:shd w:val="clear" w:color="auto" w:fill="FABF8F"/>
        <w:spacing w:line="276" w:lineRule="auto"/>
        <w:jc w:val="both"/>
        <w:rPr>
          <w:i/>
        </w:rPr>
      </w:pPr>
      <w:r w:rsidRPr="00FD1B84">
        <w:rPr>
          <w:b/>
        </w:rPr>
        <w:t>Кому:</w:t>
      </w:r>
      <w:r w:rsidRPr="00FD1B84">
        <w:t xml:space="preserve"> </w:t>
      </w:r>
      <w:r w:rsidR="00FD1B84" w:rsidRPr="00FD1B84">
        <w:t>Бухгалтеру</w:t>
      </w:r>
    </w:p>
    <w:p w:rsidR="00FD248B" w:rsidRPr="00FD1B84" w:rsidRDefault="00FD248B" w:rsidP="00FD1B84">
      <w:pPr>
        <w:spacing w:line="276" w:lineRule="auto"/>
        <w:rPr>
          <w:noProof/>
        </w:rPr>
      </w:pPr>
    </w:p>
    <w:p w:rsidR="00FD1B84" w:rsidRPr="00FD1B84" w:rsidRDefault="00FD1B84" w:rsidP="00FD1B84">
      <w:pPr>
        <w:pStyle w:val="2"/>
        <w:shd w:val="clear" w:color="auto" w:fill="FFFFFF"/>
        <w:spacing w:before="0" w:after="240" w:line="276" w:lineRule="auto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FD1B84">
        <w:rPr>
          <w:rFonts w:ascii="Times New Roman" w:hAnsi="Times New Roman" w:cs="Times New Roman"/>
          <w:bCs w:val="0"/>
          <w:i w:val="0"/>
          <w:color w:val="000000"/>
        </w:rPr>
        <w:t>Расчет по страховым взносам: </w:t>
      </w:r>
      <w:r w:rsidRPr="00FD1B84">
        <w:rPr>
          <w:rFonts w:ascii="Times New Roman" w:hAnsi="Times New Roman" w:cs="Times New Roman"/>
          <w:bCs w:val="0"/>
          <w:i w:val="0"/>
          <w:color w:val="FF6609"/>
        </w:rPr>
        <w:t>форма обновилась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rPr>
          <w:rStyle w:val="a9"/>
          <w:color w:val="5E5E5E"/>
        </w:rPr>
        <w:t xml:space="preserve">ФНС обновила форму расчета по страховым взносам. По ней нужно отчитаться за I квартал 2025 года. Также уточнен порядок заполнения формы и формат ее подачи. В </w:t>
      </w:r>
      <w:proofErr w:type="spellStart"/>
      <w:r w:rsidRPr="00FD1B84">
        <w:rPr>
          <w:rStyle w:val="a9"/>
          <w:color w:val="5E5E5E"/>
        </w:rPr>
        <w:t>КонсультантПлюс</w:t>
      </w:r>
      <w:proofErr w:type="spellEnd"/>
      <w:r w:rsidRPr="00FD1B84">
        <w:rPr>
          <w:rStyle w:val="a9"/>
          <w:color w:val="5E5E5E"/>
        </w:rPr>
        <w:t xml:space="preserve"> найдете подробные разъяснения по заполнению формы и готовые образцы новой формы</w:t>
      </w:r>
    </w:p>
    <w:p w:rsidR="00FD1B84" w:rsidRPr="00FD1B84" w:rsidRDefault="00FD1B84" w:rsidP="00EF5024">
      <w:pPr>
        <w:pStyle w:val="3"/>
        <w:shd w:val="clear" w:color="auto" w:fill="FFFFFF"/>
        <w:spacing w:before="0" w:after="240" w:line="276" w:lineRule="auto"/>
        <w:jc w:val="both"/>
        <w:rPr>
          <w:bCs w:val="0"/>
          <w:sz w:val="24"/>
          <w:szCs w:val="24"/>
        </w:rPr>
      </w:pPr>
      <w:r w:rsidRPr="00FD1B84">
        <w:rPr>
          <w:bCs w:val="0"/>
          <w:sz w:val="24"/>
          <w:szCs w:val="24"/>
        </w:rPr>
        <w:t>Что изменилось</w:t>
      </w:r>
      <w:bookmarkStart w:id="0" w:name="_GoBack"/>
      <w:bookmarkEnd w:id="0"/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 xml:space="preserve">По сравнению с прежней формой расчета, обновленная дополнена новым приложением для субъектов МСП с основным видом деятельности, относящимся к обрабатывающим производствам. Изменен ряд других приложений, в форму внесены технические изменения, в частности заменены </w:t>
      </w:r>
      <w:proofErr w:type="spellStart"/>
      <w:r w:rsidRPr="00FD1B84">
        <w:t>штрихкоды</w:t>
      </w:r>
      <w:proofErr w:type="spellEnd"/>
      <w:r w:rsidRPr="00FD1B84">
        <w:t>.</w:t>
      </w:r>
    </w:p>
    <w:p w:rsidR="00FD1B84" w:rsidRPr="00FD1B84" w:rsidRDefault="00FD1B84" w:rsidP="00EF5024">
      <w:pPr>
        <w:pStyle w:val="3"/>
        <w:shd w:val="clear" w:color="auto" w:fill="FFFFFF"/>
        <w:spacing w:before="0" w:after="240" w:line="276" w:lineRule="auto"/>
        <w:jc w:val="both"/>
        <w:rPr>
          <w:b w:val="0"/>
          <w:bCs w:val="0"/>
          <w:sz w:val="24"/>
          <w:szCs w:val="24"/>
        </w:rPr>
      </w:pPr>
      <w:r w:rsidRPr="00FD1B84">
        <w:rPr>
          <w:b w:val="0"/>
          <w:bCs w:val="0"/>
          <w:sz w:val="24"/>
          <w:szCs w:val="24"/>
        </w:rPr>
        <w:t>Готовые решения по теме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 xml:space="preserve">В помощь бухгалтерам коммерческих и бюджетных организаций эксперты </w:t>
      </w:r>
      <w:proofErr w:type="spellStart"/>
      <w:r w:rsidRPr="00FD1B84">
        <w:t>КонсультантПлюс</w:t>
      </w:r>
      <w:proofErr w:type="spellEnd"/>
      <w:r w:rsidRPr="00FD1B84">
        <w:t xml:space="preserve"> подготовили Готовые решения, в которых подробно рассмотрели: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9" w:tgtFrame="_blank" w:history="1">
        <w:r w:rsidRPr="00FD1B84">
          <w:rPr>
            <w:rStyle w:val="a7"/>
            <w:color w:val="1200D4"/>
          </w:rPr>
          <w:t>как субъектам МСП и другим лицам, применяющим пониженные тарифы, заполнить расчет по страховым взносам за I квартал 2025 г. и последующие периоды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0" w:tgtFrame="_blank" w:history="1">
        <w:r w:rsidRPr="00FD1B84">
          <w:rPr>
            <w:rStyle w:val="a7"/>
            <w:color w:val="1200D4"/>
          </w:rPr>
          <w:t>что учесть при заполнении расчета по страховым взносам за I квартал, полугодие, 9 месяцев и год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1" w:tgtFrame="_blank" w:history="1">
        <w:r w:rsidRPr="00FD1B84">
          <w:rPr>
            <w:rStyle w:val="a7"/>
            <w:color w:val="1200D4"/>
          </w:rPr>
          <w:t>как заполнить титульный лист расчета по страховым взносам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2" w:tgtFrame="_blank" w:history="1">
        <w:r w:rsidRPr="00FD1B84">
          <w:rPr>
            <w:rStyle w:val="a7"/>
            <w:color w:val="1200D4"/>
          </w:rPr>
          <w:t>как заполнить разд. 1 расчета по страховым взносам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3" w:tgtFrame="_blank" w:history="1">
        <w:r w:rsidRPr="00FD1B84">
          <w:rPr>
            <w:rStyle w:val="a7"/>
            <w:color w:val="1200D4"/>
          </w:rPr>
          <w:t>как заполнить сведения персонифицированного учета застрахованных лиц в разд. 3 расчета по страховым взносам</w:t>
        </w:r>
      </w:hyperlink>
      <w:r w:rsidRPr="00FD1B84">
        <w:t>.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В Готовых решениях найдете простые и понятные рекомендации по заполнению обновленной формы расчета по страховым взносам, тонкости, нюансы и детали.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Поисковый запрос: </w:t>
      </w:r>
      <w:r w:rsidRPr="00FD1B84">
        <w:rPr>
          <w:color w:val="FF6609"/>
        </w:rPr>
        <w:t>РАСЧЕТ ПО СТРАХОВЫМ ВЗНОСАМ КАК ЗАПОЛНИТЬ</w:t>
      </w:r>
    </w:p>
    <w:p w:rsidR="00FD1B84" w:rsidRPr="00FD1B84" w:rsidRDefault="00FD1B84" w:rsidP="00EF5024">
      <w:pPr>
        <w:pStyle w:val="3"/>
        <w:shd w:val="clear" w:color="auto" w:fill="FFFFFF"/>
        <w:spacing w:before="0" w:after="240" w:line="276" w:lineRule="auto"/>
        <w:jc w:val="both"/>
        <w:rPr>
          <w:bCs w:val="0"/>
          <w:sz w:val="24"/>
          <w:szCs w:val="24"/>
        </w:rPr>
      </w:pPr>
      <w:r w:rsidRPr="00FD1B84">
        <w:rPr>
          <w:bCs w:val="0"/>
          <w:sz w:val="24"/>
          <w:szCs w:val="24"/>
        </w:rPr>
        <w:t>Образцы заполнения формы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 xml:space="preserve">В </w:t>
      </w:r>
      <w:proofErr w:type="spellStart"/>
      <w:r w:rsidRPr="00FD1B84">
        <w:t>КонсультантПлюс</w:t>
      </w:r>
      <w:proofErr w:type="spellEnd"/>
      <w:r w:rsidRPr="00FD1B84">
        <w:t xml:space="preserve"> есть образцы заполнения новой формы для разных ситуаций. Например: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4" w:tgtFrame="_blank" w:history="1">
        <w:r w:rsidRPr="00FD1B84">
          <w:rPr>
            <w:rStyle w:val="a7"/>
            <w:color w:val="1200D4"/>
          </w:rPr>
          <w:t>образец заполнения расчета по страховым взносам по обновленной форме за I квартал 2025 г. с применением пониженных тарифов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5" w:tgtFrame="_blank" w:history="1">
        <w:r w:rsidRPr="00FD1B84">
          <w:rPr>
            <w:rStyle w:val="a7"/>
            <w:color w:val="1200D4"/>
          </w:rPr>
          <w:t>образец заполнения субъектом МСП расчета по страховым взносам по обновленной форме за I квартал 2025 г. при применении пониженного тарифа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lastRenderedPageBreak/>
        <w:t>• </w:t>
      </w:r>
      <w:hyperlink r:id="rId16" w:tgtFrame="_blank" w:history="1">
        <w:r w:rsidRPr="00FD1B84">
          <w:rPr>
            <w:rStyle w:val="a7"/>
            <w:color w:val="1200D4"/>
          </w:rPr>
          <w:t>образец заполнения расчета по страховым взносам за полугодие 2025 г.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7" w:tgtFrame="_blank" w:history="1">
        <w:r w:rsidRPr="00FD1B84">
          <w:rPr>
            <w:rStyle w:val="a7"/>
            <w:color w:val="1200D4"/>
          </w:rPr>
          <w:t>образец заполнения расчета по страховым взносам за I квартал 2025 г.</w:t>
        </w:r>
      </w:hyperlink>
      <w:r w:rsidRPr="00FD1B84">
        <w:t>;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• </w:t>
      </w:r>
      <w:hyperlink r:id="rId18" w:tgtFrame="_blank" w:history="1">
        <w:r w:rsidRPr="00FD1B84">
          <w:rPr>
            <w:rStyle w:val="a7"/>
            <w:color w:val="1200D4"/>
          </w:rPr>
          <w:t>образец заполнения бюджетным учреждением расчета по страховым взносам за I квартал 2025 г.</w:t>
        </w:r>
      </w:hyperlink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t>Поисковый запрос: </w:t>
      </w:r>
      <w:r w:rsidRPr="00FD1B84">
        <w:rPr>
          <w:color w:val="FF6609"/>
        </w:rPr>
        <w:t>РАСЧЕТ ПО СТРАХОВЫМ ВЗНОСАМ ОБРАЗЕЦ</w:t>
      </w:r>
    </w:p>
    <w:p w:rsidR="00FD1B84" w:rsidRPr="00FD1B84" w:rsidRDefault="00FD1B84" w:rsidP="00EF5024">
      <w:pPr>
        <w:pStyle w:val="a8"/>
        <w:shd w:val="clear" w:color="auto" w:fill="FFFFFF"/>
        <w:spacing w:before="0" w:after="240" w:line="276" w:lineRule="auto"/>
        <w:jc w:val="both"/>
      </w:pPr>
      <w:r w:rsidRPr="00FD1B84">
        <w:rPr>
          <w:noProof/>
          <w:color w:val="1200D4"/>
        </w:rPr>
        <w:drawing>
          <wp:inline distT="0" distB="0" distL="0" distR="0" wp14:anchorId="4193ED7D" wp14:editId="630AB870">
            <wp:extent cx="6191250" cy="5343525"/>
            <wp:effectExtent l="0" t="0" r="0" b="9525"/>
            <wp:docPr id="1" name="Рисунок 1" descr="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39" w:rsidRPr="00FD1B84" w:rsidRDefault="00FD1B84" w:rsidP="00EF5024">
      <w:pPr>
        <w:spacing w:line="276" w:lineRule="auto"/>
        <w:jc w:val="both"/>
      </w:pPr>
      <w:r w:rsidRPr="00FD1B84">
        <w:rPr>
          <w:color w:val="000000"/>
        </w:rPr>
        <w:br/>
      </w:r>
    </w:p>
    <w:sectPr w:rsidR="008C7D39" w:rsidRPr="00FD1B84" w:rsidSect="000E1C0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6" w:rsidRDefault="003F60D6">
      <w:r>
        <w:separator/>
      </w:r>
    </w:p>
  </w:endnote>
  <w:endnote w:type="continuationSeparator" w:id="0">
    <w:p w:rsidR="003F60D6" w:rsidRDefault="003F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003EE1">
    <w:pPr>
      <w:pStyle w:val="a5"/>
    </w:pPr>
    <w:r>
      <w:t>__________________________________________________________________________________</w:t>
    </w:r>
  </w:p>
  <w:p w:rsidR="003F60D6" w:rsidRDefault="003F60D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740EAD" w:rsidRDefault="003F60D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Pr="00740EAD" w:rsidRDefault="003F60D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E52D81">
    <w:pPr>
      <w:pStyle w:val="a5"/>
    </w:pPr>
    <w:r>
      <w:t>__________________________________________________________________________________</w:t>
    </w:r>
  </w:p>
  <w:p w:rsidR="003F60D6" w:rsidRDefault="003F60D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047304" w:rsidRDefault="003F60D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Default="003F60D6" w:rsidP="00740EAD">
    <w:pPr>
      <w:rPr>
        <w:lang w:val="en-US"/>
      </w:rPr>
    </w:pPr>
  </w:p>
  <w:p w:rsidR="003F60D6" w:rsidRPr="00740EAD" w:rsidRDefault="003F60D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6" w:rsidRDefault="003F60D6">
      <w:r>
        <w:separator/>
      </w:r>
    </w:p>
  </w:footnote>
  <w:footnote w:type="continuationSeparator" w:id="0">
    <w:p w:rsidR="003F60D6" w:rsidRDefault="003F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171E915" wp14:editId="5A078EE3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018682" wp14:editId="2892269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D6" w:rsidRDefault="003F60D6" w:rsidP="00B956A8">
    <w:pPr>
      <w:rPr>
        <w:sz w:val="6"/>
        <w:szCs w:val="6"/>
      </w:rPr>
    </w:pPr>
  </w:p>
  <w:p w:rsidR="003F60D6" w:rsidRDefault="003F60D6" w:rsidP="00B956A8">
    <w:pPr>
      <w:rPr>
        <w:sz w:val="6"/>
        <w:szCs w:val="6"/>
      </w:rPr>
    </w:pPr>
  </w:p>
  <w:p w:rsidR="003F60D6" w:rsidRPr="00446348" w:rsidRDefault="003F60D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9DEF7A0" wp14:editId="49CE724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027CF0" wp14:editId="4A7FBBA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0D6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3E7F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585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024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B84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I&amp;n=336218&amp;dst=100206&amp;date=20.12.2024" TargetMode="External"/><Relationship Id="rId18" Type="http://schemas.openxmlformats.org/officeDocument/2006/relationships/hyperlink" Target="https://login.consultant.ru/link/?req=doc&amp;base=PAP&amp;n=97031&amp;dst=100002&amp;date=20.12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23069&amp;dst=100132&amp;date=20.12.2024" TargetMode="External"/><Relationship Id="rId17" Type="http://schemas.openxmlformats.org/officeDocument/2006/relationships/hyperlink" Target="https://login.consultant.ru/link/?req=doc&amp;base=PAP&amp;n=97030&amp;dst=100002&amp;date=20.12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97029&amp;dst=100001&amp;date=20.12.2024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323069&amp;dst=100082&amp;date=20.12.2024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AP&amp;n=97028&amp;dst=100001&amp;date=20.12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PBI&amp;n=336218&amp;dst=100005&amp;date=20.12.2024" TargetMode="External"/><Relationship Id="rId19" Type="http://schemas.openxmlformats.org/officeDocument/2006/relationships/hyperlink" Target="https://static.consultant.ru/images/photos/photo81934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BI&amp;n=336165&amp;dst=100001&amp;date=20.12.2024" TargetMode="External"/><Relationship Id="rId14" Type="http://schemas.openxmlformats.org/officeDocument/2006/relationships/hyperlink" Target="https://login.consultant.ru/link/?req=doc&amp;base=PAP&amp;n=97027&amp;dst=100001&amp;date=20.12.202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9395-EF87-4420-8712-6A38E7AE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3268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2025-01-17T10:59:00Z</dcterms:created>
  <dcterms:modified xsi:type="dcterms:W3CDTF">2025-01-17T10:59:00Z</dcterms:modified>
</cp:coreProperties>
</file>