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5B" w:rsidRPr="0015572A" w:rsidRDefault="00A5035B" w:rsidP="00A5035B">
      <w:pPr>
        <w:shd w:val="clear" w:color="auto" w:fill="FABF8F"/>
        <w:jc w:val="both"/>
        <w:rPr>
          <w:i/>
        </w:rPr>
      </w:pPr>
      <w:bookmarkStart w:id="0" w:name="_GoBack"/>
      <w:bookmarkEnd w:id="0"/>
      <w:r w:rsidRPr="0015572A">
        <w:rPr>
          <w:b/>
        </w:rPr>
        <w:t>Кому:</w:t>
      </w:r>
      <w:r w:rsidRPr="0015572A">
        <w:t xml:space="preserve"> </w:t>
      </w:r>
      <w:r w:rsidR="00B81DB0">
        <w:t>Бухгалтеру бюджетной сферы</w:t>
      </w:r>
    </w:p>
    <w:p w:rsidR="00FD248B" w:rsidRDefault="00FD248B" w:rsidP="00DF5B03">
      <w:pPr>
        <w:rPr>
          <w:noProof/>
        </w:rPr>
      </w:pPr>
    </w:p>
    <w:p w:rsidR="0048422C" w:rsidRPr="00B81DB0" w:rsidRDefault="0048422C" w:rsidP="00B81DB0">
      <w:pPr>
        <w:pStyle w:val="2"/>
        <w:shd w:val="clear" w:color="auto" w:fill="FFFFFF"/>
        <w:spacing w:before="0" w:after="240" w:line="570" w:lineRule="atLeast"/>
        <w:jc w:val="center"/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 w:rsidRPr="00B81DB0"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Составляем учетную политику на 2025 </w:t>
      </w:r>
      <w:r w:rsidRPr="00B81DB0">
        <w:rPr>
          <w:rFonts w:ascii="Times New Roman" w:hAnsi="Times New Roman" w:cs="Times New Roman"/>
          <w:b w:val="0"/>
          <w:bCs w:val="0"/>
          <w:color w:val="FF6609"/>
          <w:sz w:val="32"/>
          <w:szCs w:val="32"/>
        </w:rPr>
        <w:t>год с КонсультантПлюс</w:t>
      </w:r>
    </w:p>
    <w:p w:rsidR="0048422C" w:rsidRPr="00B81DB0" w:rsidRDefault="0048422C" w:rsidP="00B81DB0">
      <w:pPr>
        <w:pStyle w:val="a8"/>
        <w:shd w:val="clear" w:color="auto" w:fill="FFFFFF"/>
        <w:spacing w:before="0" w:after="240" w:line="300" w:lineRule="atLeast"/>
        <w:jc w:val="both"/>
      </w:pPr>
      <w:r w:rsidRPr="00B81DB0">
        <w:rPr>
          <w:rStyle w:val="a9"/>
          <w:color w:val="5E5E5E"/>
        </w:rPr>
        <w:t>В "Конструктор учетной политики" включены учетные политики на 2025 г. для коммерческих и бюджетных организаций. В них учтены все изменения законодательства, которые нужно применять в новом году. Рассказываем, на что надо обратить внимание</w:t>
      </w:r>
    </w:p>
    <w:p w:rsidR="0048422C" w:rsidRPr="00B81DB0" w:rsidRDefault="0048422C" w:rsidP="00B81DB0">
      <w:pPr>
        <w:pStyle w:val="a8"/>
        <w:shd w:val="clear" w:color="auto" w:fill="FFFFFF"/>
        <w:spacing w:before="0" w:after="240" w:line="300" w:lineRule="atLeast"/>
        <w:jc w:val="both"/>
      </w:pPr>
      <w:r w:rsidRPr="00B81DB0">
        <w:t>Напомним, что в "Конструкторе учетной политики" есть учетные политики:</w:t>
      </w:r>
    </w:p>
    <w:p w:rsidR="0048422C" w:rsidRPr="00B81DB0" w:rsidRDefault="0048422C" w:rsidP="00B81DB0">
      <w:pPr>
        <w:pStyle w:val="a8"/>
        <w:shd w:val="clear" w:color="auto" w:fill="FFFFFF"/>
        <w:spacing w:before="0" w:after="240" w:line="300" w:lineRule="atLeast"/>
        <w:jc w:val="both"/>
        <w:rPr>
          <w:b/>
        </w:rPr>
      </w:pPr>
      <w:r w:rsidRPr="00B81DB0">
        <w:rPr>
          <w:b/>
          <w:color w:val="FF6609"/>
        </w:rPr>
        <w:t>- для коммерческих организаций:</w:t>
      </w:r>
    </w:p>
    <w:p w:rsidR="0048422C" w:rsidRPr="00B81DB0" w:rsidRDefault="0048422C" w:rsidP="00B81DB0">
      <w:pPr>
        <w:pStyle w:val="a8"/>
        <w:shd w:val="clear" w:color="auto" w:fill="FFFFFF"/>
        <w:spacing w:before="0" w:after="240" w:line="300" w:lineRule="atLeast"/>
        <w:jc w:val="both"/>
      </w:pPr>
      <w:r w:rsidRPr="00B81DB0">
        <w:t>• </w:t>
      </w:r>
      <w:hyperlink r:id="rId9" w:tgtFrame="_blank" w:history="1">
        <w:r w:rsidRPr="00B81DB0">
          <w:rPr>
            <w:rStyle w:val="a7"/>
            <w:color w:val="1200D4"/>
          </w:rPr>
          <w:t>для целей бухгалтерского учета</w:t>
        </w:r>
      </w:hyperlink>
      <w:r w:rsidRPr="00B81DB0">
        <w:t>;</w:t>
      </w:r>
    </w:p>
    <w:p w:rsidR="0048422C" w:rsidRPr="00B81DB0" w:rsidRDefault="0048422C" w:rsidP="00B81DB0">
      <w:pPr>
        <w:pStyle w:val="a8"/>
        <w:shd w:val="clear" w:color="auto" w:fill="FFFFFF"/>
        <w:spacing w:before="0" w:after="240" w:line="300" w:lineRule="atLeast"/>
        <w:jc w:val="both"/>
      </w:pPr>
      <w:r w:rsidRPr="00B81DB0">
        <w:t>• </w:t>
      </w:r>
      <w:hyperlink r:id="rId10" w:tgtFrame="_blank" w:history="1">
        <w:r w:rsidRPr="00B81DB0">
          <w:rPr>
            <w:rStyle w:val="a7"/>
            <w:color w:val="1200D4"/>
          </w:rPr>
          <w:t>для целей налогообложения (ОСН)</w:t>
        </w:r>
      </w:hyperlink>
      <w:r w:rsidRPr="00B81DB0">
        <w:t>;</w:t>
      </w:r>
    </w:p>
    <w:p w:rsidR="0048422C" w:rsidRPr="00B81DB0" w:rsidRDefault="0048422C" w:rsidP="00B81DB0">
      <w:pPr>
        <w:pStyle w:val="a8"/>
        <w:shd w:val="clear" w:color="auto" w:fill="FFFFFF"/>
        <w:spacing w:before="0" w:after="240" w:line="300" w:lineRule="atLeast"/>
        <w:jc w:val="both"/>
      </w:pPr>
      <w:r w:rsidRPr="00B81DB0">
        <w:t>• </w:t>
      </w:r>
      <w:hyperlink r:id="rId11" w:tgtFrame="_blank" w:history="1">
        <w:r w:rsidRPr="00B81DB0">
          <w:rPr>
            <w:rStyle w:val="a7"/>
            <w:color w:val="1200D4"/>
          </w:rPr>
          <w:t>для целей налогообложения (УСН)</w:t>
        </w:r>
      </w:hyperlink>
      <w:r w:rsidRPr="00B81DB0">
        <w:t>;</w:t>
      </w:r>
    </w:p>
    <w:p w:rsidR="0048422C" w:rsidRPr="00B81DB0" w:rsidRDefault="0048422C" w:rsidP="00B81DB0">
      <w:pPr>
        <w:pStyle w:val="a8"/>
        <w:shd w:val="clear" w:color="auto" w:fill="FFFFFF"/>
        <w:spacing w:before="0" w:after="240" w:line="300" w:lineRule="atLeast"/>
        <w:jc w:val="both"/>
        <w:rPr>
          <w:b/>
        </w:rPr>
      </w:pPr>
      <w:r w:rsidRPr="00B81DB0">
        <w:rPr>
          <w:b/>
          <w:color w:val="FF6609"/>
        </w:rPr>
        <w:t>- для организаций бюджетной сферы:</w:t>
      </w:r>
    </w:p>
    <w:p w:rsidR="0048422C" w:rsidRPr="00B81DB0" w:rsidRDefault="0048422C" w:rsidP="00B81DB0">
      <w:pPr>
        <w:pStyle w:val="a8"/>
        <w:shd w:val="clear" w:color="auto" w:fill="FFFFFF"/>
        <w:spacing w:before="0" w:after="240" w:line="300" w:lineRule="atLeast"/>
        <w:jc w:val="both"/>
      </w:pPr>
      <w:r w:rsidRPr="00B81DB0">
        <w:t>• </w:t>
      </w:r>
      <w:hyperlink r:id="rId12" w:tgtFrame="_blank" w:history="1">
        <w:r w:rsidRPr="00B81DB0">
          <w:rPr>
            <w:rStyle w:val="a7"/>
            <w:color w:val="1200D4"/>
          </w:rPr>
          <w:t>единая учетная политика (централизованная бухгалтерия) для целей бухгалтерского и бюджетного учета</w:t>
        </w:r>
      </w:hyperlink>
      <w:r w:rsidRPr="00B81DB0">
        <w:t>;</w:t>
      </w:r>
    </w:p>
    <w:p w:rsidR="0048422C" w:rsidRPr="00B81DB0" w:rsidRDefault="0048422C" w:rsidP="00B81DB0">
      <w:pPr>
        <w:pStyle w:val="a8"/>
        <w:shd w:val="clear" w:color="auto" w:fill="FFFFFF"/>
        <w:spacing w:before="0" w:after="240" w:line="300" w:lineRule="atLeast"/>
        <w:jc w:val="both"/>
      </w:pPr>
      <w:r w:rsidRPr="00B81DB0">
        <w:t>• </w:t>
      </w:r>
      <w:hyperlink r:id="rId13" w:tgtFrame="_blank" w:history="1">
        <w:r w:rsidRPr="00B81DB0">
          <w:rPr>
            <w:rStyle w:val="a7"/>
            <w:color w:val="1200D4"/>
          </w:rPr>
          <w:t>для целей бухгалтерского (бюджетного) учета</w:t>
        </w:r>
      </w:hyperlink>
      <w:r w:rsidRPr="00B81DB0">
        <w:t>;</w:t>
      </w:r>
    </w:p>
    <w:p w:rsidR="0048422C" w:rsidRPr="00B81DB0" w:rsidRDefault="0048422C" w:rsidP="00B81DB0">
      <w:pPr>
        <w:pStyle w:val="a8"/>
        <w:shd w:val="clear" w:color="auto" w:fill="FFFFFF"/>
        <w:spacing w:before="0" w:after="240" w:line="300" w:lineRule="atLeast"/>
        <w:jc w:val="both"/>
      </w:pPr>
      <w:r w:rsidRPr="00B81DB0">
        <w:t>• </w:t>
      </w:r>
      <w:hyperlink r:id="rId14" w:tgtFrame="_blank" w:history="1">
        <w:r w:rsidRPr="00B81DB0">
          <w:rPr>
            <w:rStyle w:val="a7"/>
            <w:color w:val="1200D4"/>
          </w:rPr>
          <w:t>для целей налогообложения</w:t>
        </w:r>
      </w:hyperlink>
      <w:r w:rsidRPr="00B81DB0">
        <w:t>.</w:t>
      </w:r>
    </w:p>
    <w:p w:rsidR="0048422C" w:rsidRPr="00B81DB0" w:rsidRDefault="0048422C" w:rsidP="00B81DB0">
      <w:pPr>
        <w:pStyle w:val="3"/>
        <w:shd w:val="clear" w:color="auto" w:fill="FFFFFF"/>
        <w:spacing w:before="0" w:after="240" w:line="480" w:lineRule="atLeast"/>
        <w:jc w:val="both"/>
        <w:rPr>
          <w:bCs w:val="0"/>
          <w:sz w:val="24"/>
          <w:szCs w:val="24"/>
        </w:rPr>
      </w:pPr>
      <w:r w:rsidRPr="00B81DB0">
        <w:rPr>
          <w:bCs w:val="0"/>
          <w:sz w:val="24"/>
          <w:szCs w:val="24"/>
        </w:rPr>
        <w:t>Создать с нуля или проверить</w:t>
      </w:r>
    </w:p>
    <w:p w:rsidR="0048422C" w:rsidRPr="00B81DB0" w:rsidRDefault="0048422C" w:rsidP="00B81DB0">
      <w:pPr>
        <w:pStyle w:val="a8"/>
        <w:shd w:val="clear" w:color="auto" w:fill="FFFFFF"/>
        <w:spacing w:before="0" w:after="240" w:line="300" w:lineRule="atLeast"/>
        <w:jc w:val="both"/>
      </w:pPr>
      <w:r w:rsidRPr="00B81DB0">
        <w:t>С помощью конструктора организации могут создать с нуля или проверить уже существующую учетную политику на актуальность и соответствие законодательству.</w:t>
      </w:r>
    </w:p>
    <w:p w:rsidR="0048422C" w:rsidRPr="00B81DB0" w:rsidRDefault="0048422C" w:rsidP="00B81DB0">
      <w:pPr>
        <w:pStyle w:val="a8"/>
        <w:shd w:val="clear" w:color="auto" w:fill="FFFFFF"/>
        <w:spacing w:before="0" w:after="240" w:line="300" w:lineRule="atLeast"/>
        <w:jc w:val="both"/>
      </w:pPr>
      <w:r w:rsidRPr="00B81DB0">
        <w:t>В конструкторе можно выбирать условия, которые имеют юридически грамотные формулировки.</w:t>
      </w:r>
    </w:p>
    <w:p w:rsidR="0048422C" w:rsidRPr="00B81DB0" w:rsidRDefault="0048422C" w:rsidP="00B81DB0">
      <w:pPr>
        <w:pStyle w:val="a8"/>
        <w:shd w:val="clear" w:color="auto" w:fill="FFFFFF"/>
        <w:spacing w:before="0" w:after="240" w:line="300" w:lineRule="atLeast"/>
        <w:jc w:val="both"/>
      </w:pPr>
      <w:r w:rsidRPr="00B81DB0">
        <w:t>Перейти к конструктору в КонсультантПлюс можно сразу со стартовой страницы по кнопке "Конструктор учетной политики", а далее:</w:t>
      </w:r>
    </w:p>
    <w:p w:rsidR="0048422C" w:rsidRPr="00B81DB0" w:rsidRDefault="0048422C" w:rsidP="00B81DB0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81DB0">
        <w:rPr>
          <w:color w:val="000000"/>
        </w:rPr>
        <w:t>выбираете вид учетной политики;</w:t>
      </w:r>
    </w:p>
    <w:p w:rsidR="0048422C" w:rsidRPr="00B81DB0" w:rsidRDefault="0048422C" w:rsidP="00B81DB0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81DB0">
        <w:rPr>
          <w:color w:val="000000"/>
        </w:rPr>
        <w:t>отмечаете нужные условия (из предлагаемых вариантов);</w:t>
      </w:r>
    </w:p>
    <w:p w:rsidR="0048422C" w:rsidRPr="00B81DB0" w:rsidRDefault="0048422C" w:rsidP="00B81DB0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81DB0">
        <w:rPr>
          <w:color w:val="000000"/>
        </w:rPr>
        <w:t>получаете шаблон учетной политики с готовыми формулировками.</w:t>
      </w:r>
    </w:p>
    <w:p w:rsidR="0048422C" w:rsidRPr="00B81DB0" w:rsidRDefault="0048422C" w:rsidP="00B81DB0">
      <w:pPr>
        <w:pStyle w:val="a8"/>
        <w:shd w:val="clear" w:color="auto" w:fill="FFFFFF"/>
        <w:spacing w:before="0" w:after="240" w:line="300" w:lineRule="atLeast"/>
        <w:jc w:val="both"/>
      </w:pPr>
      <w:r w:rsidRPr="00B81DB0">
        <w:t>Приложения к учетным политикам формируются автоматически.</w:t>
      </w:r>
    </w:p>
    <w:p w:rsidR="0048422C" w:rsidRPr="00B81DB0" w:rsidRDefault="0048422C" w:rsidP="00B81DB0">
      <w:pPr>
        <w:pStyle w:val="a8"/>
        <w:shd w:val="clear" w:color="auto" w:fill="FFFFFF"/>
        <w:spacing w:before="0" w:after="240" w:line="300" w:lineRule="atLeast"/>
        <w:jc w:val="both"/>
      </w:pPr>
      <w:r w:rsidRPr="00B81DB0">
        <w:t>Шаблон учетной политики можно перенести в Word.</w:t>
      </w:r>
    </w:p>
    <w:p w:rsidR="00B81DB0" w:rsidRDefault="00B81DB0" w:rsidP="00B81DB0">
      <w:pPr>
        <w:pStyle w:val="3"/>
        <w:shd w:val="clear" w:color="auto" w:fill="FFFFFF"/>
        <w:spacing w:before="360" w:after="240" w:line="480" w:lineRule="atLeast"/>
        <w:jc w:val="both"/>
        <w:rPr>
          <w:b w:val="0"/>
          <w:bCs w:val="0"/>
          <w:sz w:val="24"/>
          <w:szCs w:val="24"/>
        </w:rPr>
      </w:pPr>
    </w:p>
    <w:p w:rsidR="0048422C" w:rsidRPr="00B81DB0" w:rsidRDefault="0048422C" w:rsidP="00B81DB0">
      <w:pPr>
        <w:pStyle w:val="3"/>
        <w:shd w:val="clear" w:color="auto" w:fill="FFFFFF"/>
        <w:spacing w:before="360" w:after="240" w:line="480" w:lineRule="atLeast"/>
        <w:jc w:val="both"/>
        <w:rPr>
          <w:bCs w:val="0"/>
          <w:sz w:val="24"/>
          <w:szCs w:val="24"/>
        </w:rPr>
      </w:pPr>
      <w:r w:rsidRPr="00B81DB0">
        <w:rPr>
          <w:bCs w:val="0"/>
          <w:sz w:val="24"/>
          <w:szCs w:val="24"/>
        </w:rPr>
        <w:lastRenderedPageBreak/>
        <w:t>Новое в учетной политике бюджетных организаций</w:t>
      </w:r>
    </w:p>
    <w:p w:rsidR="0048422C" w:rsidRPr="00B81DB0" w:rsidRDefault="0048422C" w:rsidP="00B81DB0">
      <w:pPr>
        <w:pStyle w:val="a8"/>
        <w:shd w:val="clear" w:color="auto" w:fill="FFFFFF"/>
        <w:spacing w:before="0" w:after="240" w:line="300" w:lineRule="atLeast"/>
        <w:jc w:val="both"/>
      </w:pPr>
      <w:r w:rsidRPr="00B81DB0">
        <w:t>В </w:t>
      </w:r>
      <w:r w:rsidRPr="00B81DB0">
        <w:rPr>
          <w:color w:val="FF6609"/>
        </w:rPr>
        <w:t>учетной политике организации бюджетной сферы для целей налогообложения</w:t>
      </w:r>
      <w:r w:rsidRPr="00B81DB0">
        <w:t> на 2025 г. тоже учтено повышение специального коэффициента (с 1,5 до 2), применяемого к некоторым затратам, включаемым в стоимость амортизируемого имущества, и к расходам, уменьшающим налогооблагаемую прибыль. Учтено расширение случаев применения этого коэффициента. Реализована возможность прописать в учетной политике применение федерального инвестиционного налогового вычета по налогу на прибыль.</w:t>
      </w:r>
    </w:p>
    <w:p w:rsidR="0048422C" w:rsidRDefault="0048422C" w:rsidP="00B81DB0">
      <w:pPr>
        <w:pStyle w:val="a8"/>
        <w:shd w:val="clear" w:color="auto" w:fill="FFFFFF"/>
        <w:spacing w:before="0" w:after="240" w:line="300" w:lineRule="atLeast"/>
        <w:jc w:val="both"/>
      </w:pPr>
      <w:r w:rsidRPr="00B81DB0">
        <w:t>Учетная политика организации бюджетной сферы для целей бухгалтерского (бюджетного) учета и единая учетная политика (централизованная бухгалтерия) для целей бухгалтерского и бюджетного учета остались прежними, изменений не было. </w:t>
      </w:r>
    </w:p>
    <w:p w:rsidR="00B81DB0" w:rsidRPr="00B81DB0" w:rsidRDefault="00B81DB0" w:rsidP="00B81DB0">
      <w:pPr>
        <w:pStyle w:val="a8"/>
        <w:shd w:val="clear" w:color="auto" w:fill="FFFFFF"/>
        <w:spacing w:before="0" w:after="240" w:line="300" w:lineRule="atLeast"/>
        <w:jc w:val="both"/>
      </w:pPr>
    </w:p>
    <w:p w:rsidR="0048422C" w:rsidRDefault="0048422C" w:rsidP="0048422C">
      <w:pPr>
        <w:pStyle w:val="a8"/>
        <w:shd w:val="clear" w:color="auto" w:fill="FFFFFF"/>
        <w:spacing w:before="0" w:after="240" w:line="300" w:lineRule="atLeast"/>
        <w:rPr>
          <w:rFonts w:ascii="PT Sans" w:hAnsi="PT Sans"/>
        </w:rPr>
      </w:pPr>
      <w:r>
        <w:rPr>
          <w:rFonts w:ascii="PT Sans" w:hAnsi="PT Sans"/>
          <w:noProof/>
          <w:color w:val="1200D4"/>
        </w:rPr>
        <w:drawing>
          <wp:inline distT="0" distB="0" distL="0" distR="0">
            <wp:extent cx="6191250" cy="5457825"/>
            <wp:effectExtent l="0" t="0" r="0" b="9525"/>
            <wp:docPr id="2" name="Рисунок 2" descr="Отметьте условия_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метьте условия_1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D39" w:rsidRDefault="0048422C" w:rsidP="0048422C">
      <w:pPr>
        <w:rPr>
          <w:noProof/>
        </w:rPr>
      </w:pPr>
      <w:r>
        <w:rPr>
          <w:rFonts w:ascii="PT Sans" w:hAnsi="PT Sans"/>
          <w:color w:val="000000"/>
        </w:rPr>
        <w:br/>
      </w:r>
    </w:p>
    <w:sectPr w:rsidR="008C7D39" w:rsidSect="000E1C0B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D5D" w:rsidRDefault="00663D5D">
      <w:r>
        <w:separator/>
      </w:r>
    </w:p>
  </w:endnote>
  <w:endnote w:type="continuationSeparator" w:id="0">
    <w:p w:rsidR="00663D5D" w:rsidRDefault="0066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003EE1">
    <w:pPr>
      <w:pStyle w:val="a5"/>
    </w:pPr>
    <w:r>
      <w:t>__________________________________________________________________________________</w:t>
    </w:r>
  </w:p>
  <w:p w:rsidR="00F46F9E" w:rsidRDefault="00F46F9E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Релком-Плюс» Региональный информационный </w:t>
    </w:r>
    <w:r>
      <w:rPr>
        <w:b/>
        <w:sz w:val="18"/>
        <w:szCs w:val="18"/>
      </w:rPr>
      <w:t>центр сети КонсультантПлюс</w:t>
    </w:r>
  </w:p>
  <w:p w:rsidR="00F46F9E" w:rsidRPr="00740EAD" w:rsidRDefault="00F46F9E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F46F9E" w:rsidRPr="00740EAD" w:rsidRDefault="00F46F9E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E52D81">
    <w:pPr>
      <w:pStyle w:val="a5"/>
    </w:pPr>
    <w:r>
      <w:t>__________________________________________________________________________________</w:t>
    </w:r>
  </w:p>
  <w:p w:rsidR="00F46F9E" w:rsidRDefault="00F46F9E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Релком-Плюс» Региональный информационный </w:t>
    </w:r>
    <w:r>
      <w:rPr>
        <w:b/>
        <w:sz w:val="18"/>
        <w:szCs w:val="18"/>
      </w:rPr>
      <w:t>центр сети КонсультантПлюс</w:t>
    </w:r>
  </w:p>
  <w:p w:rsidR="00F46F9E" w:rsidRPr="00047304" w:rsidRDefault="00F46F9E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F46F9E" w:rsidRDefault="00F46F9E" w:rsidP="00740EAD">
    <w:pPr>
      <w:rPr>
        <w:lang w:val="en-US"/>
      </w:rPr>
    </w:pPr>
  </w:p>
  <w:p w:rsidR="00F46F9E" w:rsidRPr="00740EAD" w:rsidRDefault="00F46F9E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D5D" w:rsidRDefault="00663D5D">
      <w:r>
        <w:separator/>
      </w:r>
    </w:p>
  </w:footnote>
  <w:footnote w:type="continuationSeparator" w:id="0">
    <w:p w:rsidR="00663D5D" w:rsidRDefault="00663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063A8953" wp14:editId="0EB2E795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06AFBFA" wp14:editId="235145D1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6F9E" w:rsidRDefault="00F46F9E" w:rsidP="00B956A8">
    <w:pPr>
      <w:rPr>
        <w:sz w:val="6"/>
        <w:szCs w:val="6"/>
      </w:rPr>
    </w:pPr>
  </w:p>
  <w:p w:rsidR="00F46F9E" w:rsidRDefault="00F46F9E" w:rsidP="00B956A8">
    <w:pPr>
      <w:rPr>
        <w:sz w:val="6"/>
        <w:szCs w:val="6"/>
      </w:rPr>
    </w:pPr>
  </w:p>
  <w:p w:rsidR="00F46F9E" w:rsidRPr="00446348" w:rsidRDefault="00F46F9E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7FF02BE7" wp14:editId="3BD1457A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66321A0" wp14:editId="040DDBD5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58D2399"/>
    <w:multiLevelType w:val="multilevel"/>
    <w:tmpl w:val="C02C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03E35"/>
    <w:multiLevelType w:val="multilevel"/>
    <w:tmpl w:val="7B6C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6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</w:num>
  <w:num w:numId="3">
    <w:abstractNumId w:val="0"/>
  </w:num>
  <w:num w:numId="4">
    <w:abstractNumId w:val="12"/>
  </w:num>
  <w:num w:numId="5">
    <w:abstractNumId w:val="34"/>
  </w:num>
  <w:num w:numId="6">
    <w:abstractNumId w:val="1"/>
  </w:num>
  <w:num w:numId="7">
    <w:abstractNumId w:val="23"/>
  </w:num>
  <w:num w:numId="8">
    <w:abstractNumId w:val="25"/>
  </w:num>
  <w:num w:numId="9">
    <w:abstractNumId w:val="2"/>
  </w:num>
  <w:num w:numId="10">
    <w:abstractNumId w:val="3"/>
  </w:num>
  <w:num w:numId="11">
    <w:abstractNumId w:val="15"/>
  </w:num>
  <w:num w:numId="12">
    <w:abstractNumId w:val="4"/>
  </w:num>
  <w:num w:numId="13">
    <w:abstractNumId w:val="33"/>
  </w:num>
  <w:num w:numId="14">
    <w:abstractNumId w:val="19"/>
  </w:num>
  <w:num w:numId="15">
    <w:abstractNumId w:val="27"/>
  </w:num>
  <w:num w:numId="16">
    <w:abstractNumId w:val="30"/>
  </w:num>
  <w:num w:numId="17">
    <w:abstractNumId w:val="5"/>
  </w:num>
  <w:num w:numId="18">
    <w:abstractNumId w:val="10"/>
  </w:num>
  <w:num w:numId="19">
    <w:abstractNumId w:val="11"/>
  </w:num>
  <w:num w:numId="20">
    <w:abstractNumId w:val="20"/>
  </w:num>
  <w:num w:numId="21">
    <w:abstractNumId w:val="13"/>
  </w:num>
  <w:num w:numId="22">
    <w:abstractNumId w:val="29"/>
  </w:num>
  <w:num w:numId="23">
    <w:abstractNumId w:val="16"/>
  </w:num>
  <w:num w:numId="24">
    <w:abstractNumId w:val="14"/>
  </w:num>
  <w:num w:numId="25">
    <w:abstractNumId w:val="18"/>
  </w:num>
  <w:num w:numId="26">
    <w:abstractNumId w:val="8"/>
  </w:num>
  <w:num w:numId="27">
    <w:abstractNumId w:val="21"/>
  </w:num>
  <w:num w:numId="28">
    <w:abstractNumId w:val="31"/>
  </w:num>
  <w:num w:numId="29">
    <w:abstractNumId w:val="32"/>
  </w:num>
  <w:num w:numId="30">
    <w:abstractNumId w:val="17"/>
  </w:num>
  <w:num w:numId="31">
    <w:abstractNumId w:val="28"/>
  </w:num>
  <w:num w:numId="32">
    <w:abstractNumId w:val="26"/>
  </w:num>
  <w:num w:numId="33">
    <w:abstractNumId w:val="9"/>
  </w:num>
  <w:num w:numId="34">
    <w:abstractNumId w:val="7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22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D5D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1A8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1DB0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87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cd&amp;select=7584c3d0c1cb47eda50031fdac2de0e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cd&amp;select=05cea6a002aa4e2b92c9da4756ecae4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cd&amp;select=074263dfb6f64b8abce73d188ceb48a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tatic.consultant.ru/images/photos/photo81817.jpg" TargetMode="External"/><Relationship Id="rId10" Type="http://schemas.openxmlformats.org/officeDocument/2006/relationships/hyperlink" Target="https://login.consultant.ru/link/?req=cd&amp;select=b52c1a55ddd14514ac09adafbc249f35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cd&amp;select=6dac62e6fb134105b53948169f83de70" TargetMode="External"/><Relationship Id="rId14" Type="http://schemas.openxmlformats.org/officeDocument/2006/relationships/hyperlink" Target="https://login.consultant.ru/link/?req=cd&amp;select=947a3740269c4a358c566934e628f0bd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85E22-D5A3-42CF-BCA7-90A12374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2804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Сергей Александрович Наплавков</cp:lastModifiedBy>
  <cp:revision>2</cp:revision>
  <cp:lastPrinted>2022-10-14T11:09:00Z</cp:lastPrinted>
  <dcterms:created xsi:type="dcterms:W3CDTF">2024-12-09T13:04:00Z</dcterms:created>
  <dcterms:modified xsi:type="dcterms:W3CDTF">2024-12-09T13:04:00Z</dcterms:modified>
</cp:coreProperties>
</file>