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DF" w:rsidRPr="006835DF" w:rsidRDefault="006835DF" w:rsidP="006835DF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Cs w:val="0"/>
          <w:i w:val="0"/>
          <w:color w:val="000000"/>
          <w:sz w:val="32"/>
          <w:szCs w:val="32"/>
        </w:rPr>
      </w:pPr>
      <w:r w:rsidRPr="006835DF">
        <w:rPr>
          <w:rFonts w:ascii="Times New Roman" w:hAnsi="Times New Roman" w:cs="Times New Roman"/>
          <w:bCs w:val="0"/>
          <w:i w:val="0"/>
          <w:color w:val="000000"/>
          <w:sz w:val="32"/>
          <w:szCs w:val="32"/>
        </w:rPr>
        <w:t>Что изменится с 1 января: </w:t>
      </w:r>
      <w:r w:rsidRPr="006835DF">
        <w:rPr>
          <w:rFonts w:ascii="Times New Roman" w:hAnsi="Times New Roman" w:cs="Times New Roman"/>
          <w:bCs w:val="0"/>
          <w:i w:val="0"/>
          <w:color w:val="FF6609"/>
          <w:sz w:val="32"/>
          <w:szCs w:val="32"/>
        </w:rPr>
        <w:t>дайджест правовых событий</w:t>
      </w:r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rPr>
          <w:rStyle w:val="a9"/>
          <w:color w:val="5E5E5E"/>
        </w:rPr>
        <w:t xml:space="preserve">Повышение МРОТ, новые налоговые ставки, увеличение размера госпошлин, нововведения в сфере </w:t>
      </w:r>
      <w:proofErr w:type="spellStart"/>
      <w:r w:rsidRPr="006835DF">
        <w:rPr>
          <w:rStyle w:val="a9"/>
          <w:color w:val="5E5E5E"/>
        </w:rPr>
        <w:t>госзакупок</w:t>
      </w:r>
      <w:proofErr w:type="spellEnd"/>
      <w:r w:rsidRPr="006835DF">
        <w:rPr>
          <w:rStyle w:val="a9"/>
          <w:color w:val="5E5E5E"/>
        </w:rPr>
        <w:t xml:space="preserve"> – это лишь малая часть изменений, которые произойдут в законодательстве с наступлением нового года</w:t>
      </w:r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>Прогрессивная шкала ставок НДФЛ</w:t>
      </w:r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Будет установлена новая прогрессивная шкала ставок НДФЛ:</w:t>
      </w:r>
    </w:p>
    <w:p w:rsidR="006835DF" w:rsidRPr="006835DF" w:rsidRDefault="006835DF" w:rsidP="006835D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 xml:space="preserve">13% - для доходов 2,4 </w:t>
      </w:r>
      <w:proofErr w:type="gramStart"/>
      <w:r w:rsidRPr="006835DF">
        <w:rPr>
          <w:color w:val="000000"/>
        </w:rPr>
        <w:t>млн</w:t>
      </w:r>
      <w:proofErr w:type="gramEnd"/>
      <w:r w:rsidRPr="006835DF">
        <w:rPr>
          <w:color w:val="000000"/>
        </w:rPr>
        <w:t xml:space="preserve"> рублей и менее в год;</w:t>
      </w:r>
    </w:p>
    <w:p w:rsidR="006835DF" w:rsidRPr="006835DF" w:rsidRDefault="006835DF" w:rsidP="006835D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 xml:space="preserve">15% - свыше 2,4 </w:t>
      </w:r>
      <w:proofErr w:type="gramStart"/>
      <w:r w:rsidRPr="006835DF">
        <w:rPr>
          <w:color w:val="000000"/>
        </w:rPr>
        <w:t>млн</w:t>
      </w:r>
      <w:proofErr w:type="gramEnd"/>
      <w:r w:rsidRPr="006835DF">
        <w:rPr>
          <w:color w:val="000000"/>
        </w:rPr>
        <w:t xml:space="preserve"> и не более 5 млн рублей в год;</w:t>
      </w:r>
    </w:p>
    <w:p w:rsidR="006835DF" w:rsidRPr="006835DF" w:rsidRDefault="006835DF" w:rsidP="006835D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 xml:space="preserve">18% - свыше 5 </w:t>
      </w:r>
      <w:proofErr w:type="gramStart"/>
      <w:r w:rsidRPr="006835DF">
        <w:rPr>
          <w:color w:val="000000"/>
        </w:rPr>
        <w:t>млн</w:t>
      </w:r>
      <w:proofErr w:type="gramEnd"/>
      <w:r w:rsidRPr="006835DF">
        <w:rPr>
          <w:color w:val="000000"/>
        </w:rPr>
        <w:t xml:space="preserve"> и не более 20 млн рублей в год;</w:t>
      </w:r>
    </w:p>
    <w:p w:rsidR="006835DF" w:rsidRPr="006835DF" w:rsidRDefault="006835DF" w:rsidP="006835D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 xml:space="preserve">20% - свыше 20 </w:t>
      </w:r>
      <w:proofErr w:type="gramStart"/>
      <w:r w:rsidRPr="006835DF">
        <w:rPr>
          <w:color w:val="000000"/>
        </w:rPr>
        <w:t>млн</w:t>
      </w:r>
      <w:proofErr w:type="gramEnd"/>
      <w:r w:rsidRPr="006835DF">
        <w:rPr>
          <w:color w:val="000000"/>
        </w:rPr>
        <w:t xml:space="preserve"> и не более 50 млн рублей в год;</w:t>
      </w:r>
    </w:p>
    <w:p w:rsidR="006835DF" w:rsidRPr="006835DF" w:rsidRDefault="006835DF" w:rsidP="006835D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 xml:space="preserve">22% - свыше 50 </w:t>
      </w:r>
      <w:proofErr w:type="gramStart"/>
      <w:r w:rsidRPr="006835DF">
        <w:rPr>
          <w:color w:val="000000"/>
        </w:rPr>
        <w:t>млн</w:t>
      </w:r>
      <w:proofErr w:type="gramEnd"/>
      <w:r w:rsidRPr="006835DF">
        <w:rPr>
          <w:color w:val="000000"/>
        </w:rPr>
        <w:t xml:space="preserve"> рублей в год.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Есть и другие изменения.</w:t>
      </w:r>
    </w:p>
    <w:p w:rsidR="00F05A1E" w:rsidRPr="006835DF" w:rsidRDefault="00F05A1E" w:rsidP="006835DF">
      <w:pPr>
        <w:pStyle w:val="a8"/>
        <w:shd w:val="clear" w:color="auto" w:fill="FFFFFF"/>
        <w:spacing w:before="0" w:after="240"/>
        <w:jc w:val="both"/>
      </w:pPr>
      <w:hyperlink r:id="rId9" w:tooltip="Ссылка на КонсультантПлюс" w:history="1">
        <w:r>
          <w:rPr>
            <w:rStyle w:val="a7"/>
            <w:i/>
            <w:iCs/>
          </w:rPr>
          <w:t>Готовое решение: Как с 2025 г. применять новые ставки НДФЛ и прогрессивную шкалу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>Новые ставки налога на прибыль</w:t>
      </w:r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Увеличиваются ставки налога на прибыль организаций. Так, общая налоговая ставка повышена с 20 до 25%, из которых 8% зачисляются в федеральный бюджет и 17% - в бюджет субъекта РФ.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Есть и другие изменения.</w:t>
      </w:r>
    </w:p>
    <w:p w:rsidR="00F05A1E" w:rsidRPr="006835DF" w:rsidRDefault="00F05A1E" w:rsidP="006835DF">
      <w:pPr>
        <w:pStyle w:val="a8"/>
        <w:shd w:val="clear" w:color="auto" w:fill="FFFFFF"/>
        <w:spacing w:before="0" w:after="240"/>
        <w:jc w:val="both"/>
      </w:pPr>
      <w:hyperlink r:id="rId10" w:tooltip="Ссылка на КонсультантПлюс" w:history="1">
        <w:r>
          <w:rPr>
            <w:rStyle w:val="a7"/>
            <w:i/>
            <w:iCs/>
          </w:rPr>
          <w:t>Готовое решение: Что учесть в связи с изменением с 2025 г. ставок налога на прибыль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>Новый туристический налог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В НК РФ появится новая </w:t>
      </w:r>
      <w:hyperlink r:id="rId11" w:tgtFrame="_blank" w:history="1">
        <w:r w:rsidRPr="006835DF">
          <w:rPr>
            <w:rStyle w:val="a7"/>
            <w:color w:val="1200D4"/>
          </w:rPr>
          <w:t>глава 33.1 "Туристический налог"</w:t>
        </w:r>
      </w:hyperlink>
      <w:r w:rsidRPr="006835DF">
        <w:t>. Его плательщиками будут организации и физлица, которые предоставляют места для временного проживания. Ставку будут устанавливать муниципальные образования, города федерального значения. В 2025 г. она не может превышать 1% от цены проживания.</w:t>
      </w:r>
    </w:p>
    <w:p w:rsidR="00F05A1E" w:rsidRPr="006835DF" w:rsidRDefault="00F05A1E" w:rsidP="006835DF">
      <w:pPr>
        <w:pStyle w:val="a8"/>
        <w:shd w:val="clear" w:color="auto" w:fill="FFFFFF"/>
        <w:spacing w:before="0" w:after="240"/>
        <w:jc w:val="both"/>
      </w:pPr>
      <w:hyperlink r:id="rId12" w:tooltip="Ссылка на КонсультантПлюс" w:history="1">
        <w:r>
          <w:rPr>
            <w:rStyle w:val="a7"/>
            <w:i/>
            <w:iCs/>
          </w:rPr>
          <w:t>Готовое решение: Как рассчитывать и уплачивать туристический налог с 2025 г.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>Повышение МРОТ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 xml:space="preserve">Минимальный </w:t>
      </w:r>
      <w:proofErr w:type="gramStart"/>
      <w:r w:rsidRPr="006835DF">
        <w:t>размер оплаты труда</w:t>
      </w:r>
      <w:proofErr w:type="gramEnd"/>
      <w:r w:rsidRPr="006835DF">
        <w:t xml:space="preserve"> составит 22 440 руб. в месяц.</w:t>
      </w:r>
    </w:p>
    <w:p w:rsidR="00F05A1E" w:rsidRPr="006835DF" w:rsidRDefault="00F05A1E" w:rsidP="006835DF">
      <w:pPr>
        <w:pStyle w:val="a8"/>
        <w:shd w:val="clear" w:color="auto" w:fill="FFFFFF"/>
        <w:spacing w:before="0" w:after="240"/>
        <w:jc w:val="both"/>
      </w:pPr>
      <w:hyperlink r:id="rId13" w:tooltip="Ссылка на КонсультантПлюс" w:history="1">
        <w:r>
          <w:rPr>
            <w:rStyle w:val="a7"/>
            <w:i/>
            <w:iCs/>
          </w:rPr>
          <w:t>Типовая ситуация: МРОТ - 2024/2025 (Издательство "Главная книга",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>Новое в УСН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lastRenderedPageBreak/>
        <w:t>С 1 января 2025 г. повышаются лимиты в целях применения УСН. Кроме того, налогоплательщики, применяющие УСН, признаются плательщиками НДС.</w:t>
      </w:r>
    </w:p>
    <w:p w:rsidR="00F05A1E" w:rsidRPr="006835DF" w:rsidRDefault="00F05A1E" w:rsidP="006835DF">
      <w:pPr>
        <w:pStyle w:val="a8"/>
        <w:shd w:val="clear" w:color="auto" w:fill="FFFFFF"/>
        <w:spacing w:before="0" w:after="240"/>
        <w:jc w:val="both"/>
      </w:pPr>
      <w:hyperlink r:id="rId14" w:tooltip="Ссылка на КонсультантПлюс" w:history="1">
        <w:r>
          <w:rPr>
            <w:rStyle w:val="a7"/>
            <w:i/>
            <w:iCs/>
          </w:rPr>
          <w:t>Готовое решение: Что учесть плательщикам налога при УСН в связи с изменениями с 2025 г.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  <w:rPr>
          <w:b/>
        </w:rPr>
      </w:pPr>
      <w:r w:rsidRPr="006835DF">
        <w:rPr>
          <w:b/>
        </w:rPr>
        <w:t>Новые размеры госпошлин</w:t>
      </w:r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В частности, увеличиваются госпошлины:</w:t>
      </w:r>
    </w:p>
    <w:p w:rsidR="006835DF" w:rsidRPr="006835DF" w:rsidRDefault="006835DF" w:rsidP="006835D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 xml:space="preserve">за </w:t>
      </w:r>
      <w:proofErr w:type="spellStart"/>
      <w:r w:rsidRPr="006835DF">
        <w:rPr>
          <w:color w:val="000000"/>
        </w:rPr>
        <w:t>госрегистрацию</w:t>
      </w:r>
      <w:proofErr w:type="spellEnd"/>
      <w:r w:rsidRPr="006835DF">
        <w:rPr>
          <w:color w:val="000000"/>
        </w:rPr>
        <w:t xml:space="preserve"> договора аренды либо уступки прав требования по нему;</w:t>
      </w:r>
    </w:p>
    <w:p w:rsidR="006835DF" w:rsidRPr="006835DF" w:rsidRDefault="006835DF" w:rsidP="006835D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835DF">
        <w:rPr>
          <w:color w:val="000000"/>
        </w:rPr>
        <w:t>за рассмотрение ходатайства, предусмотренного антимонопольным законодательством и законодательством о естественных монополиях и др.</w:t>
      </w:r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 xml:space="preserve">Введен новый вид госпошлины - за государственный кадастровый учет и </w:t>
      </w:r>
      <w:proofErr w:type="spellStart"/>
      <w:r w:rsidRPr="006835DF">
        <w:t>госрегистрацию</w:t>
      </w:r>
      <w:proofErr w:type="spellEnd"/>
      <w:r w:rsidRPr="006835DF">
        <w:t xml:space="preserve"> прав на объекты недвижимости.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Есть и другие изменения.</w:t>
      </w:r>
    </w:p>
    <w:p w:rsidR="00622B2C" w:rsidRPr="006835DF" w:rsidRDefault="00622B2C" w:rsidP="006835DF">
      <w:pPr>
        <w:pStyle w:val="a8"/>
        <w:shd w:val="clear" w:color="auto" w:fill="FFFFFF"/>
        <w:spacing w:before="0" w:after="240"/>
        <w:jc w:val="both"/>
      </w:pPr>
      <w:hyperlink r:id="rId15" w:tooltip="Ссылка на КонсультантПлюс" w:history="1">
        <w:r>
          <w:rPr>
            <w:rStyle w:val="a7"/>
            <w:i/>
            <w:iCs/>
          </w:rPr>
          <w:t xml:space="preserve">Справочная информация: "Основные виды и размеры государственной пошлины в Российской Федерации" (Материал подготовлен специалистами 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>Новое в страховых взносах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>Увеличивается единая предельная величина базы для исчисления страховых взносов. С 1 января она составит в отношении каждого физического лица сумму, не превышающую 2 759 000 руб. нарастающим итогом.</w:t>
      </w:r>
    </w:p>
    <w:p w:rsidR="00622B2C" w:rsidRPr="006835DF" w:rsidRDefault="00622B2C" w:rsidP="006835DF">
      <w:pPr>
        <w:pStyle w:val="a8"/>
        <w:shd w:val="clear" w:color="auto" w:fill="FFFFFF"/>
        <w:spacing w:before="0" w:after="240"/>
        <w:jc w:val="both"/>
      </w:pPr>
      <w:hyperlink r:id="rId16" w:tooltip="Ссылка на КонсультантПлюс" w:history="1">
        <w:r>
          <w:rPr>
            <w:rStyle w:val="a7"/>
            <w:i/>
            <w:iCs/>
          </w:rPr>
          <w:t>Типовая ситуация: Налоги-2025: главные изменения (Издательство "Главная книга",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6835DF" w:rsidRPr="006835DF" w:rsidRDefault="006835DF" w:rsidP="006835DF">
      <w:pPr>
        <w:pStyle w:val="3"/>
        <w:shd w:val="clear" w:color="auto" w:fill="FFFFFF"/>
        <w:spacing w:before="0" w:after="240"/>
        <w:jc w:val="both"/>
        <w:rPr>
          <w:bCs w:val="0"/>
          <w:sz w:val="24"/>
          <w:szCs w:val="24"/>
        </w:rPr>
      </w:pPr>
      <w:r w:rsidRPr="006835DF">
        <w:rPr>
          <w:bCs w:val="0"/>
          <w:sz w:val="24"/>
          <w:szCs w:val="24"/>
        </w:rPr>
        <w:t xml:space="preserve">Новое в </w:t>
      </w:r>
      <w:proofErr w:type="spellStart"/>
      <w:r w:rsidRPr="006835DF">
        <w:rPr>
          <w:bCs w:val="0"/>
          <w:sz w:val="24"/>
          <w:szCs w:val="24"/>
        </w:rPr>
        <w:t>госзакупках</w:t>
      </w:r>
      <w:proofErr w:type="spellEnd"/>
    </w:p>
    <w:p w:rsidR="006835DF" w:rsidRP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86000" cy="1028700"/>
            <wp:effectExtent l="0" t="0" r="0" b="0"/>
            <wp:wrapSquare wrapText="bothSides"/>
            <wp:docPr id="2" name="Рисунок 2" descr="Все самые свеж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самые свежие новост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DF">
        <w:t>С 1 января при осуществлении закупок будет предоставляться национальный режим, обеспечивающий товару, работе, услуге от иностранного лица равные условия с товаром российского происхождения, работой, услугой, оказываемой российским лицом.</w:t>
      </w:r>
    </w:p>
    <w:p w:rsidR="006835DF" w:rsidRDefault="006835DF" w:rsidP="006835DF">
      <w:pPr>
        <w:pStyle w:val="a8"/>
        <w:shd w:val="clear" w:color="auto" w:fill="FFFFFF"/>
        <w:spacing w:before="0" w:after="240"/>
        <w:jc w:val="both"/>
      </w:pPr>
      <w:r w:rsidRPr="006835DF">
        <w:t xml:space="preserve">Установлен также ряд особенностей в отношении закупок для </w:t>
      </w:r>
      <w:proofErr w:type="spellStart"/>
      <w:r w:rsidRPr="006835DF">
        <w:t>госнужд</w:t>
      </w:r>
      <w:proofErr w:type="spellEnd"/>
      <w:r w:rsidRPr="006835DF">
        <w:t xml:space="preserve"> и закупок юридических лиц. </w:t>
      </w:r>
    </w:p>
    <w:p w:rsidR="00622B2C" w:rsidRDefault="00622B2C" w:rsidP="006835DF">
      <w:pPr>
        <w:pStyle w:val="a8"/>
        <w:shd w:val="clear" w:color="auto" w:fill="FFFFFF"/>
        <w:spacing w:before="0" w:after="240"/>
        <w:jc w:val="both"/>
      </w:pPr>
    </w:p>
    <w:p w:rsidR="00622B2C" w:rsidRPr="006835DF" w:rsidRDefault="00622B2C" w:rsidP="006835DF">
      <w:pPr>
        <w:pStyle w:val="a8"/>
        <w:shd w:val="clear" w:color="auto" w:fill="FFFFFF"/>
        <w:spacing w:before="0" w:after="240"/>
        <w:jc w:val="both"/>
      </w:pPr>
      <w:hyperlink r:id="rId18" w:tooltip="Ссылка на КонсультантПлюс" w:history="1">
        <w:r>
          <w:rPr>
            <w:rStyle w:val="a7"/>
            <w:i/>
            <w:iCs/>
          </w:rPr>
          <w:t>Обзор: "Основные изменения в закупках по Закону N 223-ФЗ в 2024 - 2025 годах"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  <w:bookmarkStart w:id="0" w:name="_GoBack"/>
      <w:bookmarkEnd w:id="0"/>
    </w:p>
    <w:sectPr w:rsidR="00622B2C" w:rsidRPr="006835DF" w:rsidSect="000E1C0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622B2C">
      <w:fldChar w:fldCharType="begin"/>
    </w:r>
    <w:r w:rsidR="00622B2C" w:rsidRPr="00F05A1E">
      <w:rPr>
        <w:lang w:val="en-US"/>
      </w:rPr>
      <w:instrText xml:space="preserve"> HYPERLINK "http://www.cons66.ru" </w:instrText>
    </w:r>
    <w:r w:rsidR="00622B2C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622B2C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622B2C">
      <w:fldChar w:fldCharType="begin"/>
    </w:r>
    <w:r w:rsidR="00622B2C" w:rsidRPr="00F05A1E">
      <w:rPr>
        <w:lang w:val="en-US"/>
      </w:rPr>
      <w:instrText xml:space="preserve"> HYPERLINK "mailto:gl@cons66.ru" </w:instrText>
    </w:r>
    <w:r w:rsidR="00622B2C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622B2C">
      <w:rPr>
        <w:rStyle w:val="a7"/>
        <w:b/>
        <w:sz w:val="18"/>
        <w:szCs w:val="18"/>
        <w:lang w:val="en-US"/>
      </w:rPr>
      <w:fldChar w:fldCharType="end"/>
    </w:r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622B2C">
      <w:fldChar w:fldCharType="begin"/>
    </w:r>
    <w:r w:rsidR="00622B2C" w:rsidRPr="00F05A1E">
      <w:rPr>
        <w:lang w:val="en-US"/>
      </w:rPr>
      <w:instrText xml:space="preserve"> HYPERLINK "http://www.cons66.ru" </w:instrText>
    </w:r>
    <w:r w:rsidR="00622B2C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622B2C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22C03"/>
    <w:multiLevelType w:val="multilevel"/>
    <w:tmpl w:val="5E9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EE3913"/>
    <w:multiLevelType w:val="multilevel"/>
    <w:tmpl w:val="865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3"/>
  </w:num>
  <w:num w:numId="6">
    <w:abstractNumId w:val="1"/>
  </w:num>
  <w:num w:numId="7">
    <w:abstractNumId w:val="21"/>
  </w:num>
  <w:num w:numId="8">
    <w:abstractNumId w:val="24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2"/>
  </w:num>
  <w:num w:numId="14">
    <w:abstractNumId w:val="18"/>
  </w:num>
  <w:num w:numId="15">
    <w:abstractNumId w:val="26"/>
  </w:num>
  <w:num w:numId="16">
    <w:abstractNumId w:val="29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8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30"/>
  </w:num>
  <w:num w:numId="29">
    <w:abstractNumId w:val="31"/>
  </w:num>
  <w:num w:numId="30">
    <w:abstractNumId w:val="16"/>
  </w:num>
  <w:num w:numId="31">
    <w:abstractNumId w:val="27"/>
  </w:num>
  <w:num w:numId="32">
    <w:abstractNumId w:val="25"/>
  </w:num>
  <w:num w:numId="33">
    <w:abstractNumId w:val="8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B2C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35DF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5A1E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BI&amp;n=271645&amp;dst=100002" TargetMode="External"/><Relationship Id="rId18" Type="http://schemas.openxmlformats.org/officeDocument/2006/relationships/hyperlink" Target="https://login.consultant.ru/link/?req=doc&amp;base=LAW&amp;n=43167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KBO&amp;n=62149&amp;dst=100002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40408&amp;dst=10013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90&amp;dst=26407&amp;date=26.11.20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2444&amp;dst=100265,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KBO&amp;n=6209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KBO&amp;n=62088" TargetMode="External"/><Relationship Id="rId14" Type="http://schemas.openxmlformats.org/officeDocument/2006/relationships/hyperlink" Target="https://login.consultant.ru/link/?req=doc&amp;base=PBI&amp;n=332839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E136-C91A-4FBA-B831-D7893B0F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4357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2022-10-14T11:09:00Z</cp:lastPrinted>
  <dcterms:created xsi:type="dcterms:W3CDTF">2024-12-04T11:36:00Z</dcterms:created>
  <dcterms:modified xsi:type="dcterms:W3CDTF">2024-12-06T10:50:00Z</dcterms:modified>
</cp:coreProperties>
</file>