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2E3936" w:rsidRDefault="00A5035B" w:rsidP="00BA0FD1">
      <w:pPr>
        <w:shd w:val="clear" w:color="auto" w:fill="FABF8F"/>
        <w:jc w:val="both"/>
        <w:rPr>
          <w:i/>
        </w:rPr>
      </w:pPr>
      <w:r w:rsidRPr="002E3936">
        <w:rPr>
          <w:b/>
        </w:rPr>
        <w:t>Кому:</w:t>
      </w:r>
      <w:r w:rsidRPr="002E3936">
        <w:t xml:space="preserve"> </w:t>
      </w:r>
      <w:r w:rsidR="00BA0FD1" w:rsidRPr="002E3936">
        <w:t>Бухгалтеру</w:t>
      </w:r>
    </w:p>
    <w:p w:rsidR="00FD248B" w:rsidRPr="002E3936" w:rsidRDefault="00FD248B" w:rsidP="00BA0FD1">
      <w:pPr>
        <w:rPr>
          <w:noProof/>
        </w:rPr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E3936">
        <w:rPr>
          <w:rFonts w:ascii="Times New Roman" w:hAnsi="Times New Roman" w:cs="Times New Roman"/>
          <w:i w:val="0"/>
          <w:sz w:val="24"/>
          <w:szCs w:val="24"/>
        </w:rPr>
        <w:t>НАЛОГИ, ВЗНОСЫ И ОТЧЕТНОСТЬ В ЯНВАРЕ 2025 ГОДА:</w:t>
      </w: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E3936">
        <w:rPr>
          <w:rFonts w:ascii="Times New Roman" w:hAnsi="Times New Roman" w:cs="Times New Roman"/>
          <w:i w:val="0"/>
          <w:sz w:val="24"/>
          <w:szCs w:val="24"/>
        </w:rPr>
        <w:t>ОСНОВНЫЕ ИЗМЕНЕНИЯ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  <w:outlineLvl w:val="0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Доходы физлиц облагают НДФЛ по прогрессивной шкале. Для выплат сотрудникам учитывают новый МРОТ. Используют увеличенную предельную базу по взносам. Вычеты на детей предоставляют в новых размерах. Пени начисляют по уточненным правилам. Об этих и других самых важных новшествах - в обзоре.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2E3936">
        <w:rPr>
          <w:rFonts w:ascii="Times New Roman" w:hAnsi="Times New Roman" w:cs="Times New Roman"/>
          <w:sz w:val="24"/>
          <w:szCs w:val="24"/>
        </w:rPr>
        <w:t>Ставка НДФЛ</w:t>
      </w:r>
      <w:bookmarkStart w:id="1" w:name="_GoBack"/>
      <w:bookmarkEnd w:id="1"/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С января 2025 года для зарплаты применяйте </w:t>
      </w:r>
      <w:hyperlink r:id="rId9" w:history="1">
        <w:r w:rsidRPr="002E3936">
          <w:rPr>
            <w:color w:val="0000FF"/>
          </w:rPr>
          <w:t>прогрессивную шкалу ставок</w:t>
        </w:r>
      </w:hyperlink>
      <w:r w:rsidRPr="002E3936">
        <w:t>: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- 13% - для доходов 2,4 </w:t>
      </w:r>
      <w:proofErr w:type="gramStart"/>
      <w:r w:rsidRPr="002E3936">
        <w:t>млн</w:t>
      </w:r>
      <w:proofErr w:type="gramEnd"/>
      <w:r w:rsidRPr="002E3936">
        <w:t xml:space="preserve"> руб. и менее в год;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- 15% - свыше 2,4 </w:t>
      </w:r>
      <w:proofErr w:type="gramStart"/>
      <w:r w:rsidRPr="002E3936">
        <w:t>млн</w:t>
      </w:r>
      <w:proofErr w:type="gramEnd"/>
      <w:r w:rsidRPr="002E3936">
        <w:t xml:space="preserve"> и не более 5 млн руб. в год;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- 18% - свыше 5 </w:t>
      </w:r>
      <w:proofErr w:type="gramStart"/>
      <w:r w:rsidRPr="002E3936">
        <w:t>млн</w:t>
      </w:r>
      <w:proofErr w:type="gramEnd"/>
      <w:r w:rsidRPr="002E3936">
        <w:t xml:space="preserve"> и не более 20 млн руб. в год;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- 20% - свыше 20 </w:t>
      </w:r>
      <w:proofErr w:type="gramStart"/>
      <w:r w:rsidRPr="002E3936">
        <w:t>млн</w:t>
      </w:r>
      <w:proofErr w:type="gramEnd"/>
      <w:r w:rsidRPr="002E3936">
        <w:t xml:space="preserve"> и не более 50 млн руб. в год;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- 22% - свыше 50 </w:t>
      </w:r>
      <w:proofErr w:type="gramStart"/>
      <w:r w:rsidRPr="002E3936">
        <w:t>млн</w:t>
      </w:r>
      <w:proofErr w:type="gramEnd"/>
      <w:r w:rsidRPr="002E3936">
        <w:t xml:space="preserve"> руб. в год.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Повышенные ставки действуют не ко всему доходу, а лишь к сумме превышения, как и прежде.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Для ряда видов доходов физлиц порядок налогообложения также иной. Например, </w:t>
      </w:r>
      <w:hyperlink r:id="rId10" w:history="1">
        <w:r w:rsidRPr="002E3936">
          <w:rPr>
            <w:color w:val="0000FF"/>
          </w:rPr>
          <w:t>дивиденды</w:t>
        </w:r>
      </w:hyperlink>
      <w:r w:rsidRPr="002E3936">
        <w:t xml:space="preserve"> облагайте по ставке </w:t>
      </w:r>
      <w:hyperlink r:id="rId11" w:history="1">
        <w:r w:rsidRPr="002E3936">
          <w:rPr>
            <w:color w:val="0000FF"/>
          </w:rPr>
          <w:t>15%</w:t>
        </w:r>
      </w:hyperlink>
      <w:r w:rsidRPr="002E3936">
        <w:t xml:space="preserve">, если доход составит более 2,4 </w:t>
      </w:r>
      <w:proofErr w:type="gramStart"/>
      <w:r w:rsidRPr="002E3936">
        <w:t>млн</w:t>
      </w:r>
      <w:proofErr w:type="gramEnd"/>
      <w:r w:rsidRPr="002E3936">
        <w:t xml:space="preserve"> руб. в год.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К доходам работников районов Крайнего Севера и приравненных к ним местностей </w:t>
      </w:r>
      <w:hyperlink r:id="rId12" w:history="1">
        <w:r w:rsidRPr="002E3936">
          <w:rPr>
            <w:color w:val="0000FF"/>
          </w:rPr>
          <w:t>применяйте</w:t>
        </w:r>
      </w:hyperlink>
      <w:r w:rsidRPr="002E3936">
        <w:t xml:space="preserve"> ставки 13% (для дохода не более 5 </w:t>
      </w:r>
      <w:proofErr w:type="gramStart"/>
      <w:r w:rsidRPr="002E3936">
        <w:t>млн</w:t>
      </w:r>
      <w:proofErr w:type="gramEnd"/>
      <w:r w:rsidRPr="002E3936">
        <w:t xml:space="preserve"> руб.) и 15% (для дохода свыше 5 млн руб.).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9"/>
      <w:bookmarkEnd w:id="2"/>
      <w:r w:rsidRPr="002E3936">
        <w:rPr>
          <w:rFonts w:ascii="Times New Roman" w:hAnsi="Times New Roman" w:cs="Times New Roman"/>
          <w:sz w:val="24"/>
          <w:szCs w:val="24"/>
        </w:rPr>
        <w:t>МРОТ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С 1 января 2025 года для расчета ряда выплат сотрудникам (зарплаты, отпускных и командировочных, больничных) используйте новый МРОТ. Его размер равен </w:t>
      </w:r>
      <w:hyperlink r:id="rId13" w:history="1">
        <w:r w:rsidRPr="002E3936">
          <w:rPr>
            <w:color w:val="0000FF"/>
          </w:rPr>
          <w:t>22 440 руб</w:t>
        </w:r>
      </w:hyperlink>
      <w:r w:rsidRPr="002E3936">
        <w:t xml:space="preserve">. О том, какие выплаты нужно пересмотреть, читайте в нашем </w:t>
      </w:r>
      <w:hyperlink r:id="rId14" w:history="1">
        <w:r w:rsidRPr="002E3936">
          <w:rPr>
            <w:color w:val="0000FF"/>
          </w:rPr>
          <w:t>обзоре</w:t>
        </w:r>
      </w:hyperlink>
      <w:r w:rsidRPr="002E3936">
        <w:t>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 w:rsidRPr="002E3936">
        <w:rPr>
          <w:rFonts w:ascii="Times New Roman" w:hAnsi="Times New Roman" w:cs="Times New Roman"/>
          <w:sz w:val="24"/>
          <w:szCs w:val="24"/>
        </w:rPr>
        <w:t>Предельная база по взносам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На 2025 год предельная база по взносам равна </w:t>
      </w:r>
      <w:hyperlink r:id="rId15" w:history="1">
        <w:r w:rsidRPr="002E3936">
          <w:rPr>
            <w:color w:val="0000FF"/>
          </w:rPr>
          <w:t>2 759 тыс. руб</w:t>
        </w:r>
      </w:hyperlink>
      <w:r w:rsidRPr="002E3936">
        <w:t>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7"/>
      <w:bookmarkEnd w:id="4"/>
      <w:r w:rsidRPr="002E3936">
        <w:rPr>
          <w:rFonts w:ascii="Times New Roman" w:hAnsi="Times New Roman" w:cs="Times New Roman"/>
          <w:sz w:val="24"/>
          <w:szCs w:val="24"/>
        </w:rPr>
        <w:t>Вычеты на детей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С января 2025 года предоставляйте стандартные вычеты на детей в </w:t>
      </w:r>
      <w:hyperlink r:id="rId16" w:history="1">
        <w:r w:rsidRPr="002E3936">
          <w:rPr>
            <w:color w:val="0000FF"/>
          </w:rPr>
          <w:t>таких размерах</w:t>
        </w:r>
      </w:hyperlink>
      <w:r w:rsidRPr="002E3936">
        <w:t>: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- на второго ребенка - 2 800 руб.;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- на третьего и каждого следующего ребенка - 6 000 руб.;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- на ребенка-инвалида, находящегося на обеспечении опекуна, попечителя, приемного родителя, супруга (супруги) приемного родителя, - 12 000 руб.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Совокупный доход для применения вычетов - </w:t>
      </w:r>
      <w:hyperlink r:id="rId17" w:history="1">
        <w:r w:rsidRPr="002E3936">
          <w:rPr>
            <w:color w:val="0000FF"/>
          </w:rPr>
          <w:t>450 тыс. руб</w:t>
        </w:r>
      </w:hyperlink>
      <w:r w:rsidRPr="002E3936">
        <w:t>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Для вычета заявление сотрудника </w:t>
      </w:r>
      <w:hyperlink r:id="rId18" w:history="1">
        <w:r w:rsidRPr="002E3936">
          <w:rPr>
            <w:color w:val="0000FF"/>
          </w:rPr>
          <w:t>не нужно</w:t>
        </w:r>
      </w:hyperlink>
      <w:r w:rsidRPr="002E3936">
        <w:t>. Последний должен сообщать работодателю лишь об изменении оснований для вычета. Информацию он должен подтвердить документами.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 w:rsidRPr="002E3936">
        <w:rPr>
          <w:rFonts w:ascii="Times New Roman" w:hAnsi="Times New Roman" w:cs="Times New Roman"/>
          <w:sz w:val="24"/>
          <w:szCs w:val="24"/>
        </w:rPr>
        <w:t>Расчет пеней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С 1 января 2025 года пени </w:t>
      </w:r>
      <w:hyperlink r:id="rId19" w:history="1">
        <w:r w:rsidRPr="002E3936">
          <w:rPr>
            <w:color w:val="0000FF"/>
          </w:rPr>
          <w:t>считайте так</w:t>
        </w:r>
      </w:hyperlink>
      <w:r w:rsidRPr="002E3936">
        <w:t>: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- за первые 30 календарных дней просрочки - 1/300 ставки ЦБ от суммы недоимки;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lastRenderedPageBreak/>
        <w:t>- с 31-го по 90-й день - 1/150;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- с 91-го дня - 1/300.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3"/>
      <w:bookmarkEnd w:id="6"/>
      <w:r w:rsidRPr="002E3936">
        <w:rPr>
          <w:rFonts w:ascii="Times New Roman" w:hAnsi="Times New Roman" w:cs="Times New Roman"/>
          <w:sz w:val="24"/>
          <w:szCs w:val="24"/>
        </w:rPr>
        <w:t>Выходное пособие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С 1 января 2025 года необлагаемый НДФЛ размер выходного пособия при увольнении </w:t>
      </w:r>
      <w:hyperlink r:id="rId20" w:history="1">
        <w:r w:rsidRPr="002E3936">
          <w:rPr>
            <w:color w:val="0000FF"/>
          </w:rPr>
          <w:t>определяйте</w:t>
        </w:r>
      </w:hyperlink>
      <w:r w:rsidRPr="002E3936">
        <w:t xml:space="preserve"> исходя из среднего заработка, рассчитанного по правилам для пособия по беременности и родам и ежемесячного пособия по уходу за ребенком.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"/>
      <w:bookmarkEnd w:id="7"/>
      <w:r w:rsidRPr="002E3936">
        <w:rPr>
          <w:rFonts w:ascii="Times New Roman" w:hAnsi="Times New Roman" w:cs="Times New Roman"/>
          <w:sz w:val="24"/>
          <w:szCs w:val="24"/>
        </w:rPr>
        <w:t>Коды доходов и вычетов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С 1 января 2025 года применяют обновленные перечни кодов видов </w:t>
      </w:r>
      <w:hyperlink r:id="rId21" w:history="1">
        <w:r w:rsidRPr="002E3936">
          <w:rPr>
            <w:color w:val="0000FF"/>
          </w:rPr>
          <w:t>доходов</w:t>
        </w:r>
      </w:hyperlink>
      <w:r w:rsidRPr="002E3936">
        <w:t xml:space="preserve"> и </w:t>
      </w:r>
      <w:hyperlink r:id="rId22" w:history="1">
        <w:r w:rsidRPr="002E3936">
          <w:rPr>
            <w:color w:val="0000FF"/>
          </w:rPr>
          <w:t>вычетов</w:t>
        </w:r>
      </w:hyperlink>
      <w:r w:rsidRPr="002E3936">
        <w:t>. В перечни добавили новые позиции, часть формулировок уточнили.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Примеры новых кодов доходов: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23" w:history="1">
        <w:r w:rsidRPr="002E3936">
          <w:rPr>
            <w:color w:val="0000FF"/>
          </w:rPr>
          <w:t>1241</w:t>
        </w:r>
      </w:hyperlink>
      <w:r w:rsidRPr="002E3936">
        <w:t xml:space="preserve"> - выплаты по договорам долгосрочных сбережений, заключенным с </w:t>
      </w:r>
      <w:proofErr w:type="gramStart"/>
      <w:r w:rsidRPr="002E3936">
        <w:t>российскими</w:t>
      </w:r>
      <w:proofErr w:type="gramEnd"/>
      <w:r w:rsidRPr="002E3936">
        <w:t xml:space="preserve"> НПФ с лицензией;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24" w:history="1">
        <w:r w:rsidRPr="002E3936">
          <w:rPr>
            <w:color w:val="0000FF"/>
          </w:rPr>
          <w:t>2006</w:t>
        </w:r>
      </w:hyperlink>
      <w:r w:rsidRPr="002E3936">
        <w:t xml:space="preserve"> - районные коэффициенты и процентные надбавки к зарплате, денежному довольствию или содержанию работников из районов Крайнего Севера, приравненных к ним местностей, районов с неблагоприятными климатическими или экологическими условиями;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25" w:history="1">
        <w:r w:rsidRPr="002E3936">
          <w:rPr>
            <w:color w:val="0000FF"/>
          </w:rPr>
          <w:t>2792</w:t>
        </w:r>
      </w:hyperlink>
      <w:r w:rsidRPr="002E3936">
        <w:t xml:space="preserve"> - доходы от реализации или погашения долей в УК, </w:t>
      </w:r>
      <w:hyperlink r:id="rId26" w:history="1">
        <w:r w:rsidRPr="002E3936">
          <w:rPr>
            <w:color w:val="0000FF"/>
          </w:rPr>
          <w:t>акций</w:t>
        </w:r>
      </w:hyperlink>
      <w:r w:rsidRPr="002E3936">
        <w:t xml:space="preserve"> организаций РФ, которые на дату реализации непрерывно принадлежали им более 5 лет.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Примеры новых кодов вычетов: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27" w:history="1">
        <w:r w:rsidRPr="002E3936">
          <w:rPr>
            <w:color w:val="0000FF"/>
          </w:rPr>
          <w:t>150</w:t>
        </w:r>
      </w:hyperlink>
      <w:r w:rsidRPr="002E3936">
        <w:t xml:space="preserve"> - 18 тыс. руб. за налоговый период для налогоплательщика, который выполнил нормативы комплекса "Готов к труду и обороне" со знаком отличия;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28" w:history="1">
        <w:r w:rsidRPr="002E3936">
          <w:rPr>
            <w:color w:val="0000FF"/>
          </w:rPr>
          <w:t>513</w:t>
        </w:r>
      </w:hyperlink>
      <w:r w:rsidRPr="002E3936">
        <w:t xml:space="preserve"> - вычет из дохода от реализации или погашения долей в УК, </w:t>
      </w:r>
      <w:hyperlink r:id="rId29" w:history="1">
        <w:r w:rsidRPr="002E3936">
          <w:rPr>
            <w:color w:val="0000FF"/>
          </w:rPr>
          <w:t>акций</w:t>
        </w:r>
      </w:hyperlink>
      <w:r w:rsidRPr="002E3936">
        <w:t xml:space="preserve"> организаций РФ, которые на дату реализации непрерывно принадлежали им более 5 лет;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30" w:history="1">
        <w:r w:rsidRPr="002E3936">
          <w:rPr>
            <w:color w:val="0000FF"/>
          </w:rPr>
          <w:t>515</w:t>
        </w:r>
      </w:hyperlink>
      <w:r w:rsidRPr="002E3936">
        <w:t xml:space="preserve"> - </w:t>
      </w:r>
      <w:hyperlink r:id="rId31" w:history="1">
        <w:r w:rsidRPr="002E3936">
          <w:rPr>
            <w:color w:val="0000FF"/>
          </w:rPr>
          <w:t>517</w:t>
        </w:r>
      </w:hyperlink>
      <w:r w:rsidRPr="002E3936">
        <w:t xml:space="preserve"> - вычеты на долгосрочные сбережения.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9"/>
      <w:bookmarkEnd w:id="8"/>
      <w:r w:rsidRPr="002E3936">
        <w:rPr>
          <w:rFonts w:ascii="Times New Roman" w:hAnsi="Times New Roman" w:cs="Times New Roman"/>
          <w:sz w:val="24"/>
          <w:szCs w:val="24"/>
        </w:rPr>
        <w:t>Налоговые споры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Имущественный иск с 2025 года подавайте в суд </w:t>
      </w:r>
      <w:hyperlink r:id="rId32" w:history="1">
        <w:r w:rsidRPr="002E3936">
          <w:rPr>
            <w:color w:val="0000FF"/>
          </w:rPr>
          <w:t>только после обжалования</w:t>
        </w:r>
      </w:hyperlink>
      <w:r w:rsidRPr="002E3936">
        <w:t xml:space="preserve"> решения инспекции, действий (бездействия) налоговиков в вышестоящем налоговом органе.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Если вы хотите, чтобы налоговый орган рассмотрел жалобу в упрощенном порядке, то в ней </w:t>
      </w:r>
      <w:hyperlink r:id="rId33" w:history="1">
        <w:r w:rsidRPr="002E3936">
          <w:rPr>
            <w:color w:val="0000FF"/>
          </w:rPr>
          <w:t>нужно указать</w:t>
        </w:r>
      </w:hyperlink>
      <w:r w:rsidRPr="002E3936">
        <w:t xml:space="preserve"> на это.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4"/>
      <w:bookmarkEnd w:id="9"/>
      <w:r w:rsidRPr="002E3936">
        <w:rPr>
          <w:rFonts w:ascii="Times New Roman" w:hAnsi="Times New Roman" w:cs="Times New Roman"/>
          <w:sz w:val="24"/>
          <w:szCs w:val="24"/>
        </w:rPr>
        <w:t>Налог на прибыль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С 1 января 2025 года: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34" w:history="1">
        <w:r w:rsidRPr="002E3936">
          <w:rPr>
            <w:color w:val="0000FF"/>
          </w:rPr>
          <w:t>не включайте</w:t>
        </w:r>
      </w:hyperlink>
      <w:r w:rsidRPr="002E3936">
        <w:t xml:space="preserve"> в расходы затраты на рекламу, если ее разместили в интернете с нарушениями;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можете </w:t>
      </w:r>
      <w:hyperlink r:id="rId35" w:history="1">
        <w:r w:rsidRPr="002E3936">
          <w:rPr>
            <w:color w:val="0000FF"/>
          </w:rPr>
          <w:t>амортизировать</w:t>
        </w:r>
      </w:hyperlink>
      <w:r w:rsidRPr="002E3936">
        <w:t xml:space="preserve"> ОС и НМА, по которым решили применять федеральный инвестиционный вычет.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>С этой же даты можете учитывать с коэффициентом 2 расходы: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на формирование первоначальной стоимости ряда </w:t>
      </w:r>
      <w:hyperlink r:id="rId36" w:history="1">
        <w:r w:rsidRPr="002E3936">
          <w:rPr>
            <w:color w:val="0000FF"/>
          </w:rPr>
          <w:t>ОС</w:t>
        </w:r>
      </w:hyperlink>
      <w:r w:rsidRPr="002E3936">
        <w:t xml:space="preserve"> и </w:t>
      </w:r>
      <w:hyperlink r:id="rId37" w:history="1">
        <w:r w:rsidRPr="002E3936">
          <w:rPr>
            <w:color w:val="0000FF"/>
          </w:rPr>
          <w:t>НМА</w:t>
        </w:r>
      </w:hyperlink>
      <w:r w:rsidRPr="002E3936">
        <w:t>, например ОС из перечня российского высокотехнологичного оборудования;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на </w:t>
      </w:r>
      <w:hyperlink r:id="rId38" w:history="1">
        <w:r w:rsidRPr="002E3936">
          <w:rPr>
            <w:color w:val="0000FF"/>
          </w:rPr>
          <w:t>НИОКР</w:t>
        </w:r>
      </w:hyperlink>
      <w:r w:rsidRPr="002E3936">
        <w:t xml:space="preserve"> по перечню правительства;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</w:t>
      </w:r>
      <w:hyperlink r:id="rId39" w:history="1">
        <w:r w:rsidRPr="002E3936">
          <w:rPr>
            <w:color w:val="0000FF"/>
          </w:rPr>
          <w:t>связанные</w:t>
        </w:r>
      </w:hyperlink>
      <w:r w:rsidRPr="002E3936">
        <w:t xml:space="preserve"> с приобретением права на использование программ для ЭВМ и баз данных из единого реестра российских программ для ЭВМ и баз данных.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4"/>
      <w:bookmarkEnd w:id="10"/>
      <w:r w:rsidRPr="002E3936">
        <w:rPr>
          <w:rFonts w:ascii="Times New Roman" w:hAnsi="Times New Roman" w:cs="Times New Roman"/>
          <w:sz w:val="24"/>
          <w:szCs w:val="24"/>
        </w:rPr>
        <w:t>Страховые взносы для обрабатывающего производства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Если вы работаете в сфере обрабатывающего производства, то с 1 января 2025 года должны применять </w:t>
      </w:r>
      <w:proofErr w:type="spellStart"/>
      <w:r w:rsidRPr="002E3936">
        <w:t>спецтариф</w:t>
      </w:r>
      <w:proofErr w:type="spellEnd"/>
      <w:r w:rsidRPr="002E3936">
        <w:t xml:space="preserve"> взносов </w:t>
      </w:r>
      <w:hyperlink r:id="rId40" w:history="1">
        <w:r w:rsidRPr="002E3936">
          <w:rPr>
            <w:color w:val="0000FF"/>
          </w:rPr>
          <w:t>7,6%</w:t>
        </w:r>
      </w:hyperlink>
      <w:r w:rsidRPr="002E3936">
        <w:t xml:space="preserve">. Условие - вы не работаете с рядом подакцизных товаров и соблюдаете </w:t>
      </w:r>
      <w:hyperlink r:id="rId41" w:history="1">
        <w:r w:rsidRPr="002E3936">
          <w:rPr>
            <w:color w:val="0000FF"/>
          </w:rPr>
          <w:t>требование по доходам</w:t>
        </w:r>
      </w:hyperlink>
      <w:r w:rsidRPr="002E3936">
        <w:t xml:space="preserve">. Тариф применяйте к части выплат физлицу сверх </w:t>
      </w:r>
      <w:hyperlink r:id="rId42" w:history="1">
        <w:r w:rsidRPr="002E3936">
          <w:rPr>
            <w:color w:val="0000FF"/>
          </w:rPr>
          <w:t>1,5 МРОТ</w:t>
        </w:r>
      </w:hyperlink>
      <w:r w:rsidRPr="002E3936">
        <w:t xml:space="preserve"> в месяц.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pStyle w:val="2"/>
        <w:keepNext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8"/>
      <w:bookmarkEnd w:id="11"/>
      <w:r w:rsidRPr="002E3936">
        <w:rPr>
          <w:rFonts w:ascii="Times New Roman" w:hAnsi="Times New Roman" w:cs="Times New Roman"/>
          <w:sz w:val="24"/>
          <w:szCs w:val="24"/>
        </w:rPr>
        <w:t>Прочие изменения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с 1 января 2025 года не облагаемый НДФЛ лимит суточных при разъездной работе за границей - </w:t>
      </w:r>
      <w:hyperlink r:id="rId43" w:history="1">
        <w:r w:rsidRPr="002E3936">
          <w:rPr>
            <w:color w:val="0000FF"/>
          </w:rPr>
          <w:t>3 500 руб.</w:t>
        </w:r>
      </w:hyperlink>
      <w:r w:rsidRPr="002E3936">
        <w:t>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применяйте новую форму </w:t>
      </w:r>
      <w:hyperlink r:id="rId44" w:history="1">
        <w:r w:rsidRPr="002E3936">
          <w:rPr>
            <w:color w:val="0000FF"/>
          </w:rPr>
          <w:t>книги продаж</w:t>
        </w:r>
      </w:hyperlink>
      <w:r w:rsidRPr="002E3936">
        <w:t xml:space="preserve"> и </w:t>
      </w:r>
      <w:hyperlink r:id="rId45" w:history="1">
        <w:r w:rsidRPr="002E3936">
          <w:rPr>
            <w:color w:val="0000FF"/>
          </w:rPr>
          <w:t>дополнительного листа</w:t>
        </w:r>
      </w:hyperlink>
      <w:r w:rsidRPr="002E3936">
        <w:t xml:space="preserve">. Учитывайте скорректированный порядок заполнения книг </w:t>
      </w:r>
      <w:hyperlink r:id="rId46" w:history="1">
        <w:r w:rsidRPr="002E3936">
          <w:rPr>
            <w:color w:val="0000FF"/>
          </w:rPr>
          <w:t>покупок</w:t>
        </w:r>
      </w:hyperlink>
      <w:r w:rsidRPr="002E3936">
        <w:t xml:space="preserve"> и </w:t>
      </w:r>
      <w:hyperlink r:id="rId47" w:history="1">
        <w:r w:rsidRPr="002E3936">
          <w:rPr>
            <w:color w:val="0000FF"/>
          </w:rPr>
          <w:t>продаж</w:t>
        </w:r>
      </w:hyperlink>
      <w:r w:rsidRPr="002E3936">
        <w:t>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проверяйте </w:t>
      </w:r>
      <w:hyperlink r:id="rId48" w:history="1">
        <w:r w:rsidRPr="002E3936">
          <w:rPr>
            <w:color w:val="0000FF"/>
          </w:rPr>
          <w:t>по обновленным контрольным соотношениям</w:t>
        </w:r>
      </w:hyperlink>
      <w:r w:rsidRPr="002E3936">
        <w:t xml:space="preserve"> правильность заполнения уведомления об исчисленных налогах;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- уведомляйте </w:t>
      </w:r>
      <w:proofErr w:type="gramStart"/>
      <w:r w:rsidRPr="002E3936">
        <w:t>о выборе инспекции для постановки на учет организации по месту нахождения одного из ее подразделений</w:t>
      </w:r>
      <w:proofErr w:type="gramEnd"/>
      <w:r w:rsidRPr="002E3936">
        <w:t xml:space="preserve"> по </w:t>
      </w:r>
      <w:hyperlink r:id="rId49" w:history="1">
        <w:r w:rsidRPr="002E3936">
          <w:rPr>
            <w:color w:val="0000FF"/>
          </w:rPr>
          <w:t>новой форме</w:t>
        </w:r>
      </w:hyperlink>
      <w:r w:rsidRPr="002E3936">
        <w:t>. Уведомление подавайте, если подразделения находятся в одном муниципальном образовании или городе федерального значения, но на территории разных инспекций.</w:t>
      </w: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</w:p>
    <w:p w:rsidR="00BA0FD1" w:rsidRPr="002E3936" w:rsidRDefault="00BA0FD1" w:rsidP="00BA0FD1">
      <w:pPr>
        <w:autoSpaceDE w:val="0"/>
        <w:autoSpaceDN w:val="0"/>
        <w:adjustRightInd w:val="0"/>
        <w:ind w:firstLine="540"/>
        <w:jc w:val="both"/>
      </w:pPr>
      <w:r w:rsidRPr="002E3936">
        <w:t xml:space="preserve">О других важных изменениях, которые вступят в силу в январе, читайте в наших обзорах для бухгалтеров </w:t>
      </w:r>
      <w:hyperlink r:id="rId50" w:history="1">
        <w:r w:rsidRPr="002E3936">
          <w:rPr>
            <w:color w:val="0000FF"/>
          </w:rPr>
          <w:t>коммерческих</w:t>
        </w:r>
      </w:hyperlink>
      <w:r w:rsidRPr="002E3936">
        <w:t xml:space="preserve"> и </w:t>
      </w:r>
      <w:hyperlink r:id="rId51" w:history="1">
        <w:r w:rsidRPr="002E3936">
          <w:rPr>
            <w:color w:val="0000FF"/>
          </w:rPr>
          <w:t>бюджетных</w:t>
        </w:r>
      </w:hyperlink>
      <w:r w:rsidRPr="002E3936">
        <w:t xml:space="preserve"> организаций.</w:t>
      </w:r>
    </w:p>
    <w:p w:rsidR="00BA0FD1" w:rsidRPr="002E3936" w:rsidRDefault="00BA0FD1" w:rsidP="00BA0FD1">
      <w:pPr>
        <w:autoSpaceDE w:val="0"/>
        <w:autoSpaceDN w:val="0"/>
        <w:adjustRightInd w:val="0"/>
        <w:jc w:val="both"/>
      </w:pPr>
    </w:p>
    <w:p w:rsidR="008C7D39" w:rsidRPr="002E3936" w:rsidRDefault="00BA0FD1" w:rsidP="00BA0FD1">
      <w:r w:rsidRPr="002E3936">
        <w:t xml:space="preserve">Ссылка на документ: </w:t>
      </w:r>
      <w:hyperlink r:id="rId52" w:tooltip="Ссылка на КонсультантПлюс" w:history="1">
        <w:r w:rsidRPr="002E3936">
          <w:rPr>
            <w:rStyle w:val="a7"/>
            <w:i/>
            <w:iCs/>
          </w:rPr>
          <w:t>Обзор: "Налоги, взносы и отчетность в январе 2025 года: основные изменения" (</w:t>
        </w:r>
        <w:proofErr w:type="spellStart"/>
        <w:r w:rsidRPr="002E3936">
          <w:rPr>
            <w:rStyle w:val="a7"/>
            <w:i/>
            <w:iCs/>
          </w:rPr>
          <w:t>КонсультантПлюс</w:t>
        </w:r>
        <w:proofErr w:type="spellEnd"/>
        <w:r w:rsidRPr="002E3936">
          <w:rPr>
            <w:rStyle w:val="a7"/>
            <w:i/>
            <w:iCs/>
          </w:rPr>
          <w:t>, 2024) {</w:t>
        </w:r>
        <w:proofErr w:type="spellStart"/>
        <w:r w:rsidRPr="002E3936">
          <w:rPr>
            <w:rStyle w:val="a7"/>
            <w:i/>
            <w:iCs/>
          </w:rPr>
          <w:t>КонсультантПлюс</w:t>
        </w:r>
        <w:proofErr w:type="spellEnd"/>
        <w:r w:rsidRPr="002E3936">
          <w:rPr>
            <w:rStyle w:val="a7"/>
            <w:i/>
            <w:iCs/>
          </w:rPr>
          <w:t>}</w:t>
        </w:r>
      </w:hyperlink>
    </w:p>
    <w:sectPr w:rsidR="008C7D39" w:rsidRPr="002E3936" w:rsidSect="000E1C0B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36" w:rsidRDefault="002E3936">
      <w:r>
        <w:separator/>
      </w:r>
    </w:p>
  </w:endnote>
  <w:endnote w:type="continuationSeparator" w:id="0">
    <w:p w:rsidR="002E3936" w:rsidRDefault="002E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36" w:rsidRDefault="002E3936" w:rsidP="00003EE1">
    <w:pPr>
      <w:pStyle w:val="a5"/>
    </w:pPr>
    <w:r>
      <w:t>__________________________________________________________________________________</w:t>
    </w:r>
  </w:p>
  <w:p w:rsidR="002E3936" w:rsidRDefault="002E393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2E3936" w:rsidRPr="00740EAD" w:rsidRDefault="002E393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>
      <w:fldChar w:fldCharType="begin"/>
    </w:r>
    <w:r w:rsidRPr="002E3936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>
      <w:fldChar w:fldCharType="begin"/>
    </w:r>
    <w:r w:rsidRPr="002E3936">
      <w:rPr>
        <w:lang w:val="en-US"/>
      </w:rPr>
      <w:instrText xml:space="preserve"> HYPERLINK "mailto:gl@cons66.ru" </w:instrText>
    </w:r>
    <w:r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>
      <w:rPr>
        <w:rStyle w:val="a7"/>
        <w:b/>
        <w:sz w:val="18"/>
        <w:szCs w:val="18"/>
        <w:lang w:val="en-US"/>
      </w:rPr>
      <w:fldChar w:fldCharType="end"/>
    </w:r>
  </w:p>
  <w:p w:rsidR="002E3936" w:rsidRPr="00740EAD" w:rsidRDefault="002E393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36" w:rsidRDefault="002E3936" w:rsidP="00E52D81">
    <w:pPr>
      <w:pStyle w:val="a5"/>
    </w:pPr>
    <w:r>
      <w:t>__________________________________________________________________________________</w:t>
    </w:r>
  </w:p>
  <w:p w:rsidR="002E3936" w:rsidRDefault="002E393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2E3936" w:rsidRPr="00047304" w:rsidRDefault="002E393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>
      <w:fldChar w:fldCharType="begin"/>
    </w:r>
    <w:r w:rsidRPr="002E3936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2E3936" w:rsidRDefault="002E3936" w:rsidP="00740EAD">
    <w:pPr>
      <w:rPr>
        <w:lang w:val="en-US"/>
      </w:rPr>
    </w:pPr>
  </w:p>
  <w:p w:rsidR="002E3936" w:rsidRPr="00740EAD" w:rsidRDefault="002E393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36" w:rsidRDefault="002E3936">
      <w:r>
        <w:separator/>
      </w:r>
    </w:p>
  </w:footnote>
  <w:footnote w:type="continuationSeparator" w:id="0">
    <w:p w:rsidR="002E3936" w:rsidRDefault="002E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36" w:rsidRDefault="002E393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4129A4BC" wp14:editId="75A1926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7AEFB5" wp14:editId="514ACEB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936" w:rsidRDefault="002E3936" w:rsidP="00B956A8">
    <w:pPr>
      <w:rPr>
        <w:sz w:val="6"/>
        <w:szCs w:val="6"/>
      </w:rPr>
    </w:pPr>
  </w:p>
  <w:p w:rsidR="002E3936" w:rsidRDefault="002E3936" w:rsidP="00B956A8">
    <w:pPr>
      <w:rPr>
        <w:sz w:val="6"/>
        <w:szCs w:val="6"/>
      </w:rPr>
    </w:pPr>
  </w:p>
  <w:p w:rsidR="002E3936" w:rsidRPr="00446348" w:rsidRDefault="002E393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36" w:rsidRDefault="002E393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3DE83145" wp14:editId="0FB6FD29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1AC03E" wp14:editId="6F4E0D1F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3936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53A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0FD1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264&amp;dst=100009" TargetMode="External"/><Relationship Id="rId18" Type="http://schemas.openxmlformats.org/officeDocument/2006/relationships/hyperlink" Target="https://login.consultant.ru/link/?req=doc&amp;base=LAW&amp;n=491816&amp;dst=100482" TargetMode="External"/><Relationship Id="rId26" Type="http://schemas.openxmlformats.org/officeDocument/2006/relationships/hyperlink" Target="https://login.consultant.ru/link/?req=doc&amp;base=LAW&amp;n=492056&amp;dst=20028" TargetMode="External"/><Relationship Id="rId39" Type="http://schemas.openxmlformats.org/officeDocument/2006/relationships/hyperlink" Target="https://login.consultant.ru/link/?req=doc&amp;base=LAW&amp;n=491816&amp;dst=101071" TargetMode="External"/><Relationship Id="rId21" Type="http://schemas.openxmlformats.org/officeDocument/2006/relationships/hyperlink" Target="https://login.consultant.ru/link/?req=doc&amp;base=LAW&amp;n=469333&amp;dst=100017" TargetMode="External"/><Relationship Id="rId34" Type="http://schemas.openxmlformats.org/officeDocument/2006/relationships/hyperlink" Target="https://login.consultant.ru/link/?req=doc&amp;base=LAW&amp;n=491748&amp;dst=100097" TargetMode="External"/><Relationship Id="rId42" Type="http://schemas.openxmlformats.org/officeDocument/2006/relationships/hyperlink" Target="https://login.consultant.ru/link/?req=doc&amp;base=LAW&amp;n=491812&amp;dst=100295" TargetMode="External"/><Relationship Id="rId47" Type="http://schemas.openxmlformats.org/officeDocument/2006/relationships/hyperlink" Target="https://login.consultant.ru/link/?req=doc&amp;base=LAW&amp;n=489397&amp;dst=100101" TargetMode="External"/><Relationship Id="rId50" Type="http://schemas.openxmlformats.org/officeDocument/2006/relationships/hyperlink" Target="https://login.consultant.ru/link/?req=doc&amp;base=LAW&amp;n=488069&amp;dst=100001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1816&amp;dst=100444" TargetMode="External"/><Relationship Id="rId17" Type="http://schemas.openxmlformats.org/officeDocument/2006/relationships/hyperlink" Target="https://login.consultant.ru/link/?req=doc&amp;base=LAW&amp;n=491816&amp;dst=100484" TargetMode="External"/><Relationship Id="rId25" Type="http://schemas.openxmlformats.org/officeDocument/2006/relationships/hyperlink" Target="https://login.consultant.ru/link/?req=doc&amp;base=LAW&amp;n=492573&amp;dst=100045" TargetMode="External"/><Relationship Id="rId33" Type="http://schemas.openxmlformats.org/officeDocument/2006/relationships/hyperlink" Target="https://login.consultant.ru/link/?req=doc&amp;base=LAW&amp;n=489345&amp;dst=100325" TargetMode="External"/><Relationship Id="rId38" Type="http://schemas.openxmlformats.org/officeDocument/2006/relationships/hyperlink" Target="https://login.consultant.ru/link/?req=doc&amp;base=LAW&amp;n=491816&amp;dst=100592" TargetMode="External"/><Relationship Id="rId46" Type="http://schemas.openxmlformats.org/officeDocument/2006/relationships/hyperlink" Target="https://login.consultant.ru/link/?req=doc&amp;base=LAW&amp;n=489397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816&amp;dst=100476" TargetMode="External"/><Relationship Id="rId20" Type="http://schemas.openxmlformats.org/officeDocument/2006/relationships/hyperlink" Target="https://login.consultant.ru/link/?req=doc&amp;base=LAW&amp;n=482529&amp;dst=100277" TargetMode="External"/><Relationship Id="rId29" Type="http://schemas.openxmlformats.org/officeDocument/2006/relationships/hyperlink" Target="https://login.consultant.ru/link/?req=doc&amp;base=LAW&amp;n=492056&amp;dst=20028" TargetMode="External"/><Relationship Id="rId41" Type="http://schemas.openxmlformats.org/officeDocument/2006/relationships/hyperlink" Target="https://login.consultant.ru/link/?req=doc&amp;base=LAW&amp;n=491816&amp;dst=100977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816&amp;dst=100515" TargetMode="External"/><Relationship Id="rId24" Type="http://schemas.openxmlformats.org/officeDocument/2006/relationships/hyperlink" Target="https://login.consultant.ru/link/?req=doc&amp;base=LAW&amp;n=492573&amp;dst=100030" TargetMode="External"/><Relationship Id="rId32" Type="http://schemas.openxmlformats.org/officeDocument/2006/relationships/hyperlink" Target="https://login.consultant.ru/link/?req=doc&amp;base=LAW&amp;n=489345&amp;dst=100305" TargetMode="External"/><Relationship Id="rId37" Type="http://schemas.openxmlformats.org/officeDocument/2006/relationships/hyperlink" Target="https://login.consultant.ru/link/?req=doc&amp;base=LAW&amp;n=491816&amp;dst=100588" TargetMode="External"/><Relationship Id="rId40" Type="http://schemas.openxmlformats.org/officeDocument/2006/relationships/hyperlink" Target="https://login.consultant.ru/link/?req=doc&amp;base=LAW&amp;n=491816&amp;dst=100969" TargetMode="External"/><Relationship Id="rId45" Type="http://schemas.openxmlformats.org/officeDocument/2006/relationships/hyperlink" Target="https://login.consultant.ru/link/?req=doc&amp;base=LAW&amp;n=489397&amp;dst=100137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9693&amp;dst=100005" TargetMode="External"/><Relationship Id="rId23" Type="http://schemas.openxmlformats.org/officeDocument/2006/relationships/hyperlink" Target="https://login.consultant.ru/link/?req=doc&amp;base=LAW&amp;n=492573&amp;dst=100021" TargetMode="External"/><Relationship Id="rId28" Type="http://schemas.openxmlformats.org/officeDocument/2006/relationships/hyperlink" Target="https://login.consultant.ru/link/?req=doc&amp;base=LAW&amp;n=492573&amp;dst=100081" TargetMode="External"/><Relationship Id="rId36" Type="http://schemas.openxmlformats.org/officeDocument/2006/relationships/hyperlink" Target="https://login.consultant.ru/link/?req=doc&amp;base=LAW&amp;n=491816&amp;dst=100587" TargetMode="External"/><Relationship Id="rId49" Type="http://schemas.openxmlformats.org/officeDocument/2006/relationships/hyperlink" Target="https://login.consultant.ru/link/?req=doc&amp;base=LAW&amp;n=480182&amp;dst=10002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1816&amp;dst=100418" TargetMode="External"/><Relationship Id="rId19" Type="http://schemas.openxmlformats.org/officeDocument/2006/relationships/hyperlink" Target="https://login.consultant.ru/link/?req=doc&amp;base=LAW&amp;n=491812&amp;dst=100019" TargetMode="External"/><Relationship Id="rId31" Type="http://schemas.openxmlformats.org/officeDocument/2006/relationships/hyperlink" Target="https://login.consultant.ru/link/?req=doc&amp;base=LAW&amp;n=492573&amp;dst=100090" TargetMode="External"/><Relationship Id="rId44" Type="http://schemas.openxmlformats.org/officeDocument/2006/relationships/hyperlink" Target="https://login.consultant.ru/link/?req=doc&amp;base=LAW&amp;n=489397&amp;dst=100022" TargetMode="External"/><Relationship Id="rId52" Type="http://schemas.openxmlformats.org/officeDocument/2006/relationships/hyperlink" Target="https://login.consultant.ru/link/?req=doc&amp;base=LAW&amp;n=492652&amp;dst=1000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816&amp;dst=100504" TargetMode="External"/><Relationship Id="rId14" Type="http://schemas.openxmlformats.org/officeDocument/2006/relationships/hyperlink" Target="https://login.consultant.ru/link/?req=doc&amp;base=LAW&amp;n=489375" TargetMode="External"/><Relationship Id="rId22" Type="http://schemas.openxmlformats.org/officeDocument/2006/relationships/hyperlink" Target="https://login.consultant.ru/link/?req=doc&amp;base=LAW&amp;n=469333&amp;dst=100168" TargetMode="External"/><Relationship Id="rId27" Type="http://schemas.openxmlformats.org/officeDocument/2006/relationships/hyperlink" Target="https://login.consultant.ru/link/?req=doc&amp;base=LAW&amp;n=492573&amp;dst=100059" TargetMode="External"/><Relationship Id="rId30" Type="http://schemas.openxmlformats.org/officeDocument/2006/relationships/hyperlink" Target="https://login.consultant.ru/link/?req=doc&amp;base=LAW&amp;n=492573&amp;dst=100086" TargetMode="External"/><Relationship Id="rId35" Type="http://schemas.openxmlformats.org/officeDocument/2006/relationships/hyperlink" Target="https://login.consultant.ru/link/?req=doc&amp;base=LAW&amp;n=491812&amp;dst=100375" TargetMode="External"/><Relationship Id="rId43" Type="http://schemas.openxmlformats.org/officeDocument/2006/relationships/hyperlink" Target="https://login.consultant.ru/link/?req=doc&amp;base=LAW&amp;n=491748&amp;dst=100094" TargetMode="External"/><Relationship Id="rId48" Type="http://schemas.openxmlformats.org/officeDocument/2006/relationships/hyperlink" Target="https://login.consultant.ru/link/?req=doc&amp;base=LAW&amp;n=473310&amp;dst=100011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88065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D238-B7ED-49C4-AA54-74458A38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8597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9445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2024-12-16T21:20:00Z</dcterms:created>
  <dcterms:modified xsi:type="dcterms:W3CDTF">2024-12-22T19:07:00Z</dcterms:modified>
</cp:coreProperties>
</file>